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F4" w:rsidRDefault="00CC1FF4" w:rsidP="002450E4">
      <w:pPr>
        <w:rPr>
          <w:b/>
          <w:i/>
          <w:sz w:val="28"/>
          <w:szCs w:val="28"/>
        </w:rPr>
      </w:pPr>
      <w:r>
        <w:rPr>
          <w:b/>
          <w:i/>
          <w:sz w:val="28"/>
          <w:szCs w:val="28"/>
        </w:rPr>
        <w:t>A HFS tervezetek továbbfejlesztésének e</w:t>
      </w:r>
      <w:r w:rsidRPr="001D06DA">
        <w:rPr>
          <w:b/>
          <w:i/>
          <w:sz w:val="28"/>
          <w:szCs w:val="28"/>
        </w:rPr>
        <w:t>gyedi, minőségi továbbfejlesztési útmutatás</w:t>
      </w:r>
      <w:r>
        <w:rPr>
          <w:b/>
          <w:i/>
          <w:sz w:val="28"/>
          <w:szCs w:val="28"/>
        </w:rPr>
        <w:t>ai és a tervezői válaszok</w:t>
      </w:r>
      <w:r w:rsidRPr="001D06DA">
        <w:rPr>
          <w:b/>
          <w:i/>
          <w:sz w:val="28"/>
          <w:szCs w:val="28"/>
        </w:rPr>
        <w:t xml:space="preserve"> </w:t>
      </w:r>
    </w:p>
    <w:p w:rsidR="00CC1FF4" w:rsidRDefault="00CC1FF4" w:rsidP="002450E4">
      <w:pPr>
        <w:rPr>
          <w:b/>
          <w:i/>
          <w:sz w:val="28"/>
          <w:szCs w:val="28"/>
        </w:rPr>
      </w:pPr>
    </w:p>
    <w:p w:rsidR="00CC1FF4" w:rsidRDefault="00CC1FF4" w:rsidP="00E05B8F">
      <w:pPr>
        <w:pBdr>
          <w:top w:val="single" w:sz="4" w:space="1" w:color="auto"/>
          <w:left w:val="single" w:sz="4" w:space="18" w:color="auto"/>
          <w:bottom w:val="single" w:sz="4" w:space="1" w:color="auto"/>
          <w:right w:val="single" w:sz="4" w:space="4" w:color="auto"/>
        </w:pBdr>
        <w:rPr>
          <w:b/>
          <w:i/>
          <w:sz w:val="24"/>
          <w:szCs w:val="24"/>
        </w:rPr>
      </w:pPr>
      <w:r>
        <w:rPr>
          <w:b/>
          <w:i/>
          <w:sz w:val="24"/>
          <w:szCs w:val="24"/>
        </w:rPr>
        <w:t xml:space="preserve">A HACS neve: </w:t>
      </w:r>
      <w:r w:rsidRPr="000F3CB0">
        <w:rPr>
          <w:b/>
          <w:i/>
        </w:rPr>
        <w:t>Rinya-Dráva Szövetség</w:t>
      </w:r>
    </w:p>
    <w:p w:rsidR="00CC1FF4" w:rsidRPr="00827F88" w:rsidRDefault="00CC1FF4" w:rsidP="002450E4">
      <w:pPr>
        <w:rPr>
          <w:b/>
          <w:i/>
          <w:sz w:val="24"/>
          <w:szCs w:val="24"/>
        </w:rPr>
      </w:pPr>
    </w:p>
    <w:p w:rsidR="00CC1FF4" w:rsidRPr="001E388B" w:rsidRDefault="00CC1FF4" w:rsidP="002450E4">
      <w:pPr>
        <w:rPr>
          <w:b/>
          <w:i/>
          <w:sz w:val="24"/>
          <w:szCs w:val="28"/>
        </w:rPr>
      </w:pPr>
      <w:r w:rsidRPr="001E388B">
        <w:rPr>
          <w:b/>
          <w:i/>
          <w:sz w:val="24"/>
          <w:szCs w:val="28"/>
        </w:rPr>
        <w:t>Általános kritériumok</w:t>
      </w:r>
    </w:p>
    <w:tbl>
      <w:tblPr>
        <w:tblW w:w="144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9"/>
        <w:gridCol w:w="5565"/>
        <w:gridCol w:w="4050"/>
        <w:gridCol w:w="2060"/>
      </w:tblGrid>
      <w:tr w:rsidR="00CC1FF4" w:rsidRPr="004608CC" w:rsidTr="004608CC">
        <w:tc>
          <w:tcPr>
            <w:tcW w:w="14474" w:type="dxa"/>
            <w:gridSpan w:val="4"/>
            <w:tcBorders>
              <w:top w:val="nil"/>
              <w:left w:val="nil"/>
              <w:bottom w:val="nil"/>
              <w:right w:val="nil"/>
            </w:tcBorders>
            <w:shd w:val="clear" w:color="auto" w:fill="538135"/>
          </w:tcPr>
          <w:p w:rsidR="00CC1FF4" w:rsidRPr="004608CC" w:rsidRDefault="00CC1FF4" w:rsidP="004608CC">
            <w:pPr>
              <w:spacing w:before="60" w:after="60" w:line="240" w:lineRule="auto"/>
              <w:jc w:val="center"/>
              <w:rPr>
                <w:color w:val="FFFFFF"/>
              </w:rPr>
            </w:pPr>
            <w:r w:rsidRPr="004608CC">
              <w:rPr>
                <w:b/>
                <w:i/>
                <w:color w:val="FFFFFF"/>
                <w:sz w:val="20"/>
                <w:szCs w:val="20"/>
              </w:rPr>
              <w:t>A HFS kidolgozásának minősége, a dokumentum teljessége</w:t>
            </w:r>
          </w:p>
        </w:tc>
      </w:tr>
      <w:tr w:rsidR="00CC1FF4" w:rsidRPr="004608CC" w:rsidTr="004608CC">
        <w:tc>
          <w:tcPr>
            <w:tcW w:w="2799"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Minősítő kritérium</w:t>
            </w:r>
          </w:p>
        </w:tc>
        <w:tc>
          <w:tcPr>
            <w:tcW w:w="5565"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050"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060"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Módosítások helye</w:t>
            </w:r>
            <w:r w:rsidRPr="004608CC">
              <w:rPr>
                <w:rStyle w:val="Lbjegyzet-hivatkozs"/>
                <w:b/>
                <w:color w:val="538135"/>
                <w:sz w:val="20"/>
                <w:szCs w:val="20"/>
              </w:rPr>
              <w:footnoteReference w:id="1"/>
            </w:r>
          </w:p>
        </w:tc>
      </w:tr>
      <w:tr w:rsidR="00CC1FF4" w:rsidRPr="004608CC" w:rsidTr="004608CC">
        <w:tc>
          <w:tcPr>
            <w:tcW w:w="2799" w:type="dxa"/>
          </w:tcPr>
          <w:p w:rsidR="00CC1FF4" w:rsidRPr="004608CC" w:rsidRDefault="00CC1FF4" w:rsidP="004608CC">
            <w:pPr>
              <w:spacing w:after="0" w:line="240" w:lineRule="auto"/>
              <w:rPr>
                <w:sz w:val="20"/>
                <w:szCs w:val="20"/>
              </w:rPr>
            </w:pPr>
            <w:r w:rsidRPr="004608CC">
              <w:rPr>
                <w:sz w:val="20"/>
                <w:szCs w:val="20"/>
              </w:rPr>
              <w:t>A dokumentum teljes terjedelme (70 oldal) és szerkezete megfelel a sablonban előírtaknak.</w:t>
            </w:r>
          </w:p>
        </w:tc>
        <w:tc>
          <w:tcPr>
            <w:tcW w:w="5565" w:type="dxa"/>
          </w:tcPr>
          <w:p w:rsidR="00CC1FF4" w:rsidRPr="004608CC" w:rsidRDefault="00CC1FF4" w:rsidP="004608CC">
            <w:pPr>
              <w:spacing w:after="0" w:line="240" w:lineRule="auto"/>
              <w:rPr>
                <w:i/>
                <w:sz w:val="20"/>
                <w:szCs w:val="20"/>
              </w:rPr>
            </w:pPr>
            <w:r>
              <w:rPr>
                <w:i/>
                <w:sz w:val="20"/>
                <w:szCs w:val="20"/>
              </w:rPr>
              <w:t>megfelel</w:t>
            </w:r>
          </w:p>
        </w:tc>
        <w:tc>
          <w:tcPr>
            <w:tcW w:w="4050" w:type="dxa"/>
          </w:tcPr>
          <w:p w:rsidR="00CC1FF4" w:rsidRPr="004608CC" w:rsidRDefault="00CC1FF4" w:rsidP="004608CC">
            <w:pPr>
              <w:spacing w:after="0" w:line="240" w:lineRule="auto"/>
            </w:pPr>
          </w:p>
        </w:tc>
        <w:tc>
          <w:tcPr>
            <w:tcW w:w="2060" w:type="dxa"/>
          </w:tcPr>
          <w:p w:rsidR="00CC1FF4" w:rsidRPr="004608CC" w:rsidRDefault="00CC1FF4" w:rsidP="004608CC">
            <w:pPr>
              <w:spacing w:after="0" w:line="240" w:lineRule="auto"/>
            </w:pPr>
          </w:p>
        </w:tc>
      </w:tr>
      <w:tr w:rsidR="00CC1FF4" w:rsidRPr="004608CC" w:rsidTr="004608CC">
        <w:tc>
          <w:tcPr>
            <w:tcW w:w="2799" w:type="dxa"/>
          </w:tcPr>
          <w:p w:rsidR="00CC1FF4" w:rsidRPr="004608CC" w:rsidRDefault="00CC1FF4" w:rsidP="004608CC">
            <w:pPr>
              <w:spacing w:after="0" w:line="240" w:lineRule="auto"/>
              <w:rPr>
                <w:sz w:val="20"/>
                <w:szCs w:val="20"/>
              </w:rPr>
            </w:pPr>
            <w:r w:rsidRPr="004608CC">
              <w:rPr>
                <w:sz w:val="20"/>
                <w:szCs w:val="20"/>
              </w:rPr>
              <w:t xml:space="preserve">Minden fejezet tartalmaz kifejtést, kivétel a 8.1/d; 8.3/5; 8.3/8; 8.5 pontokat, amelyeket csak a végleges </w:t>
            </w:r>
            <w:proofErr w:type="spellStart"/>
            <w:r w:rsidRPr="004608CC">
              <w:rPr>
                <w:sz w:val="20"/>
                <w:szCs w:val="20"/>
              </w:rPr>
              <w:t>HFS-hez</w:t>
            </w:r>
            <w:proofErr w:type="spellEnd"/>
            <w:r w:rsidRPr="004608CC">
              <w:rPr>
                <w:sz w:val="20"/>
                <w:szCs w:val="20"/>
              </w:rPr>
              <w:t xml:space="preserve"> kell kitölteni.</w:t>
            </w:r>
          </w:p>
        </w:tc>
        <w:tc>
          <w:tcPr>
            <w:tcW w:w="5565" w:type="dxa"/>
          </w:tcPr>
          <w:p w:rsidR="00CC1FF4" w:rsidRPr="004608CC" w:rsidRDefault="00CC1FF4" w:rsidP="004608CC">
            <w:pPr>
              <w:spacing w:after="0" w:line="240" w:lineRule="auto"/>
              <w:rPr>
                <w:i/>
                <w:sz w:val="20"/>
                <w:szCs w:val="20"/>
              </w:rPr>
            </w:pPr>
            <w:r w:rsidRPr="004608CC">
              <w:rPr>
                <w:i/>
                <w:sz w:val="20"/>
                <w:szCs w:val="20"/>
              </w:rPr>
              <w:t>megfelel</w:t>
            </w:r>
          </w:p>
        </w:tc>
        <w:tc>
          <w:tcPr>
            <w:tcW w:w="4050" w:type="dxa"/>
          </w:tcPr>
          <w:p w:rsidR="00CC1FF4" w:rsidRPr="004608CC" w:rsidRDefault="00CC1FF4" w:rsidP="004608CC">
            <w:pPr>
              <w:spacing w:after="0" w:line="240" w:lineRule="auto"/>
            </w:pPr>
          </w:p>
        </w:tc>
        <w:tc>
          <w:tcPr>
            <w:tcW w:w="2060" w:type="dxa"/>
          </w:tcPr>
          <w:p w:rsidR="00CC1FF4" w:rsidRPr="004608CC" w:rsidRDefault="00CC1FF4" w:rsidP="004608CC">
            <w:pPr>
              <w:spacing w:after="0" w:line="240" w:lineRule="auto"/>
            </w:pPr>
          </w:p>
        </w:tc>
      </w:tr>
      <w:tr w:rsidR="00CC1FF4" w:rsidRPr="004608CC" w:rsidTr="004608CC">
        <w:trPr>
          <w:trHeight w:val="2197"/>
        </w:trPr>
        <w:tc>
          <w:tcPr>
            <w:tcW w:w="2799" w:type="dxa"/>
            <w:vAlign w:val="center"/>
          </w:tcPr>
          <w:p w:rsidR="00CC1FF4" w:rsidRPr="004608CC" w:rsidRDefault="00CC1FF4" w:rsidP="004608CC">
            <w:pPr>
              <w:spacing w:after="0" w:line="240" w:lineRule="auto"/>
              <w:rPr>
                <w:sz w:val="20"/>
                <w:szCs w:val="20"/>
              </w:rPr>
            </w:pPr>
            <w:r w:rsidRPr="004608CC">
              <w:rPr>
                <w:sz w:val="20"/>
                <w:szCs w:val="20"/>
              </w:rPr>
              <w:t>A szerkezet átlátható, könnyen olvasható, az oldalszámozás és a táblázat/ábra hivatkozások megfelelőek</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pPr>
            <w:r w:rsidRPr="004608CC">
              <w:rPr>
                <w:sz w:val="20"/>
                <w:szCs w:val="20"/>
              </w:rPr>
              <w:t>A dokumentum fejezetei és az egyes alpontok az útmutatóban leírtaknak megfelelő tartalommal lettek kidolgozva</w:t>
            </w:r>
          </w:p>
        </w:tc>
        <w:tc>
          <w:tcPr>
            <w:tcW w:w="5565" w:type="dxa"/>
          </w:tcPr>
          <w:p w:rsidR="00CC1FF4" w:rsidRPr="003F2492" w:rsidRDefault="00CC1FF4" w:rsidP="00030988">
            <w:pPr>
              <w:spacing w:after="0" w:line="240" w:lineRule="auto"/>
              <w:ind w:left="-34"/>
              <w:jc w:val="both"/>
              <w:rPr>
                <w:i/>
                <w:sz w:val="20"/>
                <w:szCs w:val="20"/>
              </w:rPr>
            </w:pPr>
            <w:r>
              <w:rPr>
                <w:i/>
                <w:sz w:val="20"/>
                <w:szCs w:val="20"/>
              </w:rPr>
              <w:t>Néhány fejezet kiegészítésre szorul, melyhez a részletes észrevételek alább olvashatók.</w:t>
            </w:r>
          </w:p>
        </w:tc>
        <w:tc>
          <w:tcPr>
            <w:tcW w:w="4050" w:type="dxa"/>
          </w:tcPr>
          <w:p w:rsidR="00CC1FF4" w:rsidRPr="004608CC" w:rsidRDefault="00AD769B" w:rsidP="004608CC">
            <w:pPr>
              <w:spacing w:after="0" w:line="240" w:lineRule="auto"/>
            </w:pPr>
            <w:r>
              <w:t>A nevezett fejezetek alábbiak szerint részletezve kiegészítésre kerültek.</w:t>
            </w:r>
          </w:p>
        </w:tc>
        <w:tc>
          <w:tcPr>
            <w:tcW w:w="2060" w:type="dxa"/>
          </w:tcPr>
          <w:p w:rsidR="00CC1FF4" w:rsidRPr="004608CC" w:rsidRDefault="00CC1FF4" w:rsidP="004608CC">
            <w:pPr>
              <w:spacing w:after="0" w:line="240" w:lineRule="auto"/>
            </w:pPr>
          </w:p>
        </w:tc>
      </w:tr>
    </w:tbl>
    <w:p w:rsidR="00CC1FF4" w:rsidRDefault="00CC1FF4" w:rsidP="002450E4">
      <w:pPr>
        <w:rPr>
          <w:b/>
          <w:i/>
          <w:sz w:val="28"/>
          <w:szCs w:val="28"/>
        </w:rPr>
      </w:pPr>
    </w:p>
    <w:p w:rsidR="00CC1FF4" w:rsidRPr="001E388B" w:rsidRDefault="00CC1FF4" w:rsidP="002450E4">
      <w:pPr>
        <w:rPr>
          <w:sz w:val="20"/>
        </w:rPr>
      </w:pPr>
      <w:r w:rsidRPr="001E388B">
        <w:rPr>
          <w:b/>
          <w:i/>
          <w:sz w:val="24"/>
          <w:szCs w:val="28"/>
        </w:rPr>
        <w:t>Az érintettek bevonása a tervezési folyamatba</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253"/>
        <w:gridCol w:w="1984"/>
      </w:tblGrid>
      <w:tr w:rsidR="00CC1FF4" w:rsidRPr="004608CC" w:rsidTr="004608CC">
        <w:tc>
          <w:tcPr>
            <w:tcW w:w="14459" w:type="dxa"/>
            <w:gridSpan w:val="4"/>
            <w:tcBorders>
              <w:top w:val="nil"/>
              <w:left w:val="nil"/>
              <w:bottom w:val="nil"/>
              <w:right w:val="nil"/>
            </w:tcBorders>
            <w:shd w:val="clear" w:color="auto" w:fill="538135"/>
          </w:tcPr>
          <w:p w:rsidR="00CC1FF4" w:rsidRPr="004608CC" w:rsidRDefault="00CC1FF4" w:rsidP="004608CC">
            <w:pPr>
              <w:spacing w:before="60" w:after="60" w:line="240" w:lineRule="auto"/>
              <w:jc w:val="center"/>
              <w:rPr>
                <w:b/>
                <w:i/>
                <w:color w:val="FFFFFF"/>
                <w:sz w:val="20"/>
                <w:szCs w:val="20"/>
              </w:rPr>
            </w:pPr>
            <w:r w:rsidRPr="004608CC">
              <w:rPr>
                <w:b/>
                <w:i/>
                <w:color w:val="FFFFFF"/>
                <w:sz w:val="20"/>
                <w:szCs w:val="20"/>
              </w:rPr>
              <w:t>A helyi közösség bevonása a tervezési folyamatba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253"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1984"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4608CC">
        <w:tc>
          <w:tcPr>
            <w:tcW w:w="2836" w:type="dxa"/>
            <w:vMerge w:val="restart"/>
            <w:vAlign w:val="center"/>
          </w:tcPr>
          <w:p w:rsidR="00CC1FF4" w:rsidRPr="004608CC" w:rsidRDefault="00CC1FF4" w:rsidP="004608CC">
            <w:pPr>
              <w:spacing w:after="0" w:line="240" w:lineRule="auto"/>
              <w:rPr>
                <w:sz w:val="20"/>
                <w:szCs w:val="20"/>
              </w:rPr>
            </w:pPr>
            <w:r w:rsidRPr="004608CC">
              <w:rPr>
                <w:sz w:val="20"/>
                <w:szCs w:val="20"/>
              </w:rPr>
              <w:t>A tervezési folyamat nyitott (bárki részt vehet) és átlátható (jól kommunikált). A bevonást célzó tevékenységek módszertanilag megfelelőek, leírásuk jól részletezett, a folyamat eredményei mindenki számára elérhetők, nyilvánosak.</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A három szektor képviselete kiegyensúlyozott a tervezési folyamatban.</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A térség szempontjából jellemző (a helyzetfeltárásban említett) hátrányos helyzetű vagy valamilyen szempontból sérülékeny csoportok bevonása a tervezési folyamatba bizonyított (kisebbség, hátrányos helyzetű emberek, nők, fiatalok, idősek stb.)</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pPr>
            <w:r w:rsidRPr="004608CC">
              <w:rPr>
                <w:sz w:val="20"/>
                <w:szCs w:val="20"/>
              </w:rPr>
              <w:t>A közösség hozzájárulása a stratégiához jól nyomon követhető</w:t>
            </w:r>
          </w:p>
        </w:tc>
        <w:tc>
          <w:tcPr>
            <w:tcW w:w="5386" w:type="dxa"/>
          </w:tcPr>
          <w:p w:rsidR="00CC1FF4" w:rsidRPr="00BC75E6" w:rsidRDefault="00CC1FF4" w:rsidP="00030988">
            <w:pPr>
              <w:spacing w:after="0" w:line="240" w:lineRule="auto"/>
              <w:jc w:val="both"/>
              <w:rPr>
                <w:i/>
                <w:sz w:val="20"/>
                <w:szCs w:val="20"/>
              </w:rPr>
            </w:pPr>
            <w:r w:rsidRPr="00BC75E6">
              <w:rPr>
                <w:i/>
                <w:sz w:val="20"/>
                <w:szCs w:val="20"/>
              </w:rPr>
              <w:t xml:space="preserve">A tervezés módszertana a szakmai elvárásoknak megfelelő, a tervezési folyamat nyitottságának megteremtése érdekében ugyanakkor a következő szempontok megfontolása javasolt: </w:t>
            </w:r>
          </w:p>
        </w:tc>
        <w:tc>
          <w:tcPr>
            <w:tcW w:w="4253" w:type="dxa"/>
          </w:tcPr>
          <w:p w:rsidR="00CC1FF4" w:rsidRPr="004608CC" w:rsidRDefault="00CC1FF4" w:rsidP="004608CC">
            <w:pPr>
              <w:spacing w:after="0" w:line="240" w:lineRule="auto"/>
            </w:pPr>
          </w:p>
        </w:tc>
        <w:tc>
          <w:tcPr>
            <w:tcW w:w="1984" w:type="dxa"/>
          </w:tcPr>
          <w:p w:rsidR="00CC1FF4" w:rsidRPr="004608CC" w:rsidRDefault="00CC1FF4" w:rsidP="004608CC">
            <w:pPr>
              <w:spacing w:after="0" w:line="240" w:lineRule="auto"/>
            </w:pPr>
          </w:p>
        </w:tc>
      </w:tr>
      <w:tr w:rsidR="00CC1FF4" w:rsidRPr="004608CC" w:rsidTr="004608CC">
        <w:tc>
          <w:tcPr>
            <w:tcW w:w="2836" w:type="dxa"/>
            <w:vMerge/>
          </w:tcPr>
          <w:p w:rsidR="00CC1FF4" w:rsidRPr="004608CC" w:rsidRDefault="00CC1FF4" w:rsidP="004608CC">
            <w:pPr>
              <w:spacing w:after="0" w:line="240" w:lineRule="auto"/>
            </w:pPr>
          </w:p>
        </w:tc>
        <w:tc>
          <w:tcPr>
            <w:tcW w:w="5386" w:type="dxa"/>
          </w:tcPr>
          <w:p w:rsidR="00CC1FF4" w:rsidRPr="00BC75E6" w:rsidRDefault="00CC1FF4" w:rsidP="00A94474">
            <w:pPr>
              <w:pStyle w:val="Listaszerbekezds"/>
              <w:numPr>
                <w:ilvl w:val="0"/>
                <w:numId w:val="21"/>
              </w:numPr>
              <w:tabs>
                <w:tab w:val="clear" w:pos="535"/>
                <w:tab w:val="num" w:pos="333"/>
              </w:tabs>
              <w:spacing w:after="0" w:line="240" w:lineRule="auto"/>
              <w:ind w:left="329" w:hanging="357"/>
              <w:jc w:val="both"/>
              <w:rPr>
                <w:i/>
                <w:sz w:val="20"/>
                <w:szCs w:val="20"/>
              </w:rPr>
            </w:pPr>
            <w:r w:rsidRPr="00BC75E6">
              <w:rPr>
                <w:i/>
                <w:sz w:val="20"/>
                <w:szCs w:val="20"/>
              </w:rPr>
              <w:t>A visszacsatolás érdekében a jövőben javasoljuk a lezajlott fórumok és műhelymunkák végeztével az elért eredményeket röviden ismertetni. Jelenleg a honlapon csak a fórumok meghívói érhetők el. Erre alkalmasak lehetnek a fórumokról, műhelymunkákról készített, nyilvánossá tett tömör összefoglalók.</w:t>
            </w:r>
          </w:p>
        </w:tc>
        <w:tc>
          <w:tcPr>
            <w:tcW w:w="4253" w:type="dxa"/>
          </w:tcPr>
          <w:p w:rsidR="00CC1FF4" w:rsidRPr="004608CC" w:rsidRDefault="00AD769B" w:rsidP="004608CC">
            <w:pPr>
              <w:spacing w:after="0" w:line="240" w:lineRule="auto"/>
            </w:pPr>
            <w:r>
              <w:t>A jövőben a visszacsatolás érdekében a fórumok emlékeztetői is felkerülnek a honlapra.</w:t>
            </w:r>
          </w:p>
        </w:tc>
        <w:tc>
          <w:tcPr>
            <w:tcW w:w="1984" w:type="dxa"/>
          </w:tcPr>
          <w:p w:rsidR="00CC1FF4" w:rsidRPr="004608CC" w:rsidRDefault="00506730" w:rsidP="004608CC">
            <w:pPr>
              <w:spacing w:after="0" w:line="240" w:lineRule="auto"/>
            </w:pPr>
            <w:hyperlink r:id="rId7" w:history="1">
              <w:r w:rsidR="00AD769B" w:rsidRPr="00D15C96">
                <w:rPr>
                  <w:rStyle w:val="Hiperhivatkozs"/>
                </w:rPr>
                <w:t>www.rinyadrava.hu</w:t>
              </w:r>
            </w:hyperlink>
          </w:p>
        </w:tc>
      </w:tr>
      <w:tr w:rsidR="00A94474" w:rsidRPr="004608CC" w:rsidTr="00F61C5E">
        <w:trPr>
          <w:trHeight w:val="2611"/>
        </w:trPr>
        <w:tc>
          <w:tcPr>
            <w:tcW w:w="2836" w:type="dxa"/>
            <w:vMerge/>
          </w:tcPr>
          <w:p w:rsidR="00A94474" w:rsidRPr="004608CC" w:rsidRDefault="00A94474" w:rsidP="004608CC">
            <w:pPr>
              <w:spacing w:after="0" w:line="240" w:lineRule="auto"/>
            </w:pPr>
          </w:p>
        </w:tc>
        <w:tc>
          <w:tcPr>
            <w:tcW w:w="5386" w:type="dxa"/>
          </w:tcPr>
          <w:p w:rsidR="00A94474" w:rsidRPr="00BC75E6" w:rsidRDefault="00A94474" w:rsidP="00030988">
            <w:pPr>
              <w:pStyle w:val="Listaszerbekezds"/>
              <w:numPr>
                <w:ilvl w:val="0"/>
                <w:numId w:val="21"/>
              </w:numPr>
              <w:tabs>
                <w:tab w:val="clear" w:pos="535"/>
                <w:tab w:val="num" w:pos="333"/>
              </w:tabs>
              <w:spacing w:after="0" w:line="240" w:lineRule="auto"/>
              <w:ind w:left="329" w:hanging="357"/>
              <w:jc w:val="both"/>
              <w:rPr>
                <w:i/>
                <w:sz w:val="20"/>
                <w:szCs w:val="20"/>
              </w:rPr>
            </w:pPr>
            <w:r w:rsidRPr="00BC75E6">
              <w:rPr>
                <w:i/>
                <w:sz w:val="20"/>
                <w:szCs w:val="20"/>
              </w:rPr>
              <w:t>A Stratégia tervezése során</w:t>
            </w:r>
            <w:r w:rsidRPr="00BC75E6">
              <w:t xml:space="preserve"> a </w:t>
            </w:r>
            <w:r w:rsidRPr="00BC75E6">
              <w:rPr>
                <w:i/>
                <w:sz w:val="20"/>
                <w:szCs w:val="20"/>
              </w:rPr>
              <w:t>társadalmi kirekesztődéssel veszélyeztetett csoportok aktív bevonása érdekében e csoportok képviselőivel külön is egyeztettek. Javasoljuk, hogy a 2. fejezetben térjenek ki arra is, hogy mely hátrányos helyzetű csoportokra koncentráltak (pl. idősek, fiatalok, kisgyermekes nők, valamilyen fogyatékkal élők, romák, stb.)</w:t>
            </w:r>
            <w:r>
              <w:rPr>
                <w:i/>
                <w:sz w:val="20"/>
                <w:szCs w:val="20"/>
              </w:rPr>
              <w:t xml:space="preserve"> és milyen hatással volt az egyeztetés a HFS tartalmára.</w:t>
            </w:r>
          </w:p>
        </w:tc>
        <w:tc>
          <w:tcPr>
            <w:tcW w:w="4253" w:type="dxa"/>
          </w:tcPr>
          <w:p w:rsidR="00A94474" w:rsidRPr="004608CC" w:rsidRDefault="00AD769B" w:rsidP="004608CC">
            <w:pPr>
              <w:spacing w:after="0" w:line="240" w:lineRule="auto"/>
            </w:pPr>
            <w:r>
              <w:t>A 2. fejezetben nevesítésre került, hogy a cigány nemzetiségű csoportokkal is sikerült projekt javaslatokat generálni.</w:t>
            </w:r>
          </w:p>
        </w:tc>
        <w:tc>
          <w:tcPr>
            <w:tcW w:w="1984" w:type="dxa"/>
          </w:tcPr>
          <w:p w:rsidR="00D12B9A" w:rsidRDefault="00D12B9A" w:rsidP="004608CC">
            <w:pPr>
              <w:spacing w:after="0" w:line="240" w:lineRule="auto"/>
            </w:pPr>
            <w:r>
              <w:t>6. oldal</w:t>
            </w:r>
          </w:p>
          <w:p w:rsidR="00A94474" w:rsidRPr="004608CC" w:rsidRDefault="00AD769B" w:rsidP="004608CC">
            <w:pPr>
              <w:spacing w:after="0" w:line="240" w:lineRule="auto"/>
            </w:pPr>
            <w:r>
              <w:t>2. fejezet</w:t>
            </w:r>
          </w:p>
        </w:tc>
      </w:tr>
    </w:tbl>
    <w:p w:rsidR="00CC1FF4" w:rsidRDefault="00CC1FF4" w:rsidP="002450E4">
      <w:pPr>
        <w:rPr>
          <w:b/>
          <w:i/>
          <w:sz w:val="28"/>
          <w:szCs w:val="28"/>
        </w:rPr>
      </w:pPr>
    </w:p>
    <w:p w:rsidR="00CC1FF4" w:rsidRDefault="00CC1FF4" w:rsidP="002450E4">
      <w:pPr>
        <w:rPr>
          <w:b/>
          <w:i/>
          <w:sz w:val="28"/>
          <w:szCs w:val="28"/>
        </w:rPr>
      </w:pPr>
    </w:p>
    <w:p w:rsidR="00CC1FF4" w:rsidRPr="001E388B" w:rsidRDefault="00CC1FF4" w:rsidP="002450E4">
      <w:pPr>
        <w:rPr>
          <w:sz w:val="20"/>
        </w:rPr>
      </w:pPr>
      <w:r w:rsidRPr="001E388B">
        <w:rPr>
          <w:b/>
          <w:i/>
          <w:sz w:val="24"/>
          <w:szCs w:val="28"/>
        </w:rPr>
        <w:t>A helyzetelemzés minősége</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CC1FF4" w:rsidRPr="004608CC" w:rsidTr="004608CC">
        <w:tc>
          <w:tcPr>
            <w:tcW w:w="14459" w:type="dxa"/>
            <w:gridSpan w:val="4"/>
            <w:tcBorders>
              <w:top w:val="nil"/>
              <w:left w:val="nil"/>
              <w:bottom w:val="nil"/>
              <w:right w:val="nil"/>
            </w:tcBorders>
            <w:shd w:val="clear" w:color="auto" w:fill="538135"/>
          </w:tcPr>
          <w:p w:rsidR="00CC1FF4" w:rsidRPr="004608CC" w:rsidRDefault="00CC1FF4" w:rsidP="004608CC">
            <w:pPr>
              <w:spacing w:before="60" w:after="60" w:line="240" w:lineRule="auto"/>
              <w:jc w:val="center"/>
              <w:rPr>
                <w:b/>
                <w:i/>
                <w:color w:val="FFFFFF"/>
              </w:rPr>
            </w:pPr>
            <w:r w:rsidRPr="004608CC">
              <w:rPr>
                <w:b/>
                <w:i/>
                <w:color w:val="FFFFFF"/>
                <w:sz w:val="20"/>
                <w:szCs w:val="20"/>
              </w:rPr>
              <w:t>A térség homogenitása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5D6C33">
        <w:trPr>
          <w:trHeight w:val="1554"/>
        </w:trPr>
        <w:tc>
          <w:tcPr>
            <w:tcW w:w="2836" w:type="dxa"/>
            <w:vAlign w:val="center"/>
          </w:tcPr>
          <w:p w:rsidR="00CC1FF4" w:rsidRPr="004608CC" w:rsidRDefault="00CC1FF4" w:rsidP="004608CC">
            <w:pPr>
              <w:spacing w:after="0" w:line="240" w:lineRule="auto"/>
            </w:pPr>
            <w:r w:rsidRPr="004608CC">
              <w:rPr>
                <w:sz w:val="20"/>
                <w:szCs w:val="20"/>
              </w:rPr>
              <w:t>A térség összetartozása, az erőforrások kritikus tömegének rendelkezésre állása bizonyított.</w:t>
            </w:r>
          </w:p>
        </w:tc>
        <w:tc>
          <w:tcPr>
            <w:tcW w:w="5386" w:type="dxa"/>
          </w:tcPr>
          <w:p w:rsidR="00CC1FF4" w:rsidRPr="004608CC" w:rsidRDefault="00CC1FF4" w:rsidP="00030988">
            <w:pPr>
              <w:spacing w:after="0" w:line="240" w:lineRule="auto"/>
              <w:ind w:left="-35"/>
              <w:jc w:val="both"/>
              <w:rPr>
                <w:rFonts w:cs="Arial"/>
                <w:i/>
                <w:sz w:val="20"/>
                <w:szCs w:val="20"/>
              </w:rPr>
            </w:pPr>
          </w:p>
        </w:tc>
        <w:tc>
          <w:tcPr>
            <w:tcW w:w="4111" w:type="dxa"/>
          </w:tcPr>
          <w:p w:rsidR="00CC1FF4" w:rsidRPr="004608CC" w:rsidRDefault="00CC1FF4" w:rsidP="004608CC">
            <w:pPr>
              <w:spacing w:after="0" w:line="240" w:lineRule="auto"/>
            </w:pPr>
          </w:p>
        </w:tc>
        <w:tc>
          <w:tcPr>
            <w:tcW w:w="2126" w:type="dxa"/>
          </w:tcPr>
          <w:p w:rsidR="00CC1FF4" w:rsidRPr="004608CC" w:rsidRDefault="00CC1FF4" w:rsidP="004608CC">
            <w:pPr>
              <w:spacing w:after="0" w:line="240" w:lineRule="auto"/>
            </w:pPr>
          </w:p>
        </w:tc>
      </w:tr>
      <w:tr w:rsidR="00CC1FF4" w:rsidRPr="004608CC" w:rsidTr="004608CC">
        <w:tc>
          <w:tcPr>
            <w:tcW w:w="14459" w:type="dxa"/>
            <w:gridSpan w:val="4"/>
            <w:tcBorders>
              <w:top w:val="nil"/>
              <w:left w:val="nil"/>
              <w:bottom w:val="nil"/>
              <w:right w:val="nil"/>
            </w:tcBorders>
            <w:shd w:val="clear" w:color="auto" w:fill="538135"/>
            <w:vAlign w:val="center"/>
          </w:tcPr>
          <w:p w:rsidR="00CC1FF4" w:rsidRPr="004608CC" w:rsidRDefault="00CC1FF4" w:rsidP="004608CC">
            <w:pPr>
              <w:spacing w:before="60" w:after="60" w:line="240" w:lineRule="auto"/>
              <w:jc w:val="center"/>
              <w:rPr>
                <w:b/>
                <w:i/>
                <w:color w:val="FFFFFF"/>
              </w:rPr>
            </w:pPr>
            <w:r w:rsidRPr="004608CC">
              <w:rPr>
                <w:b/>
                <w:i/>
                <w:color w:val="FFFFFF"/>
                <w:sz w:val="20"/>
                <w:szCs w:val="20"/>
              </w:rPr>
              <w:t>A helyzetfeltárás megalapozottsága és térség-specifikussága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4608CC">
        <w:tc>
          <w:tcPr>
            <w:tcW w:w="2836" w:type="dxa"/>
            <w:vMerge w:val="restart"/>
            <w:vAlign w:val="center"/>
          </w:tcPr>
          <w:p w:rsidR="00CC1FF4" w:rsidRPr="004608CC" w:rsidRDefault="00CC1FF4" w:rsidP="000D6B20">
            <w:pPr>
              <w:spacing w:after="0" w:line="240" w:lineRule="auto"/>
              <w:rPr>
                <w:sz w:val="20"/>
                <w:szCs w:val="20"/>
              </w:rPr>
            </w:pPr>
            <w:r w:rsidRPr="004608CC">
              <w:rPr>
                <w:sz w:val="20"/>
                <w:szCs w:val="20"/>
              </w:rPr>
              <w:t>A helyzetfeltárás megfelelően részletezett, releváns, friss adatokon és információkon alapul</w:t>
            </w:r>
          </w:p>
          <w:p w:rsidR="00CC1FF4" w:rsidRPr="004608CC" w:rsidRDefault="00CC1FF4" w:rsidP="000D6B20">
            <w:pPr>
              <w:spacing w:after="0" w:line="240" w:lineRule="auto"/>
              <w:rPr>
                <w:sz w:val="20"/>
                <w:szCs w:val="20"/>
              </w:rPr>
            </w:pPr>
          </w:p>
          <w:p w:rsidR="00CC1FF4" w:rsidRPr="004608CC" w:rsidRDefault="00CC1FF4" w:rsidP="000D6B20">
            <w:pPr>
              <w:spacing w:after="0" w:line="240" w:lineRule="auto"/>
              <w:rPr>
                <w:sz w:val="20"/>
                <w:szCs w:val="20"/>
              </w:rPr>
            </w:pPr>
            <w:r w:rsidRPr="004608CC">
              <w:rPr>
                <w:sz w:val="20"/>
                <w:szCs w:val="20"/>
              </w:rPr>
              <w:t>A helyzetfeltárás elemzi az adott térség jellemzőit (térség-specifikus)</w:t>
            </w:r>
          </w:p>
          <w:p w:rsidR="00CC1FF4" w:rsidRPr="004608CC" w:rsidRDefault="00CC1FF4" w:rsidP="000D6B20">
            <w:pPr>
              <w:spacing w:after="0" w:line="240" w:lineRule="auto"/>
              <w:rPr>
                <w:sz w:val="20"/>
                <w:szCs w:val="20"/>
              </w:rPr>
            </w:pPr>
          </w:p>
          <w:p w:rsidR="00CC1FF4" w:rsidRPr="004608CC" w:rsidRDefault="00CC1FF4" w:rsidP="000D6B20">
            <w:pPr>
              <w:spacing w:after="0" w:line="240" w:lineRule="auto"/>
            </w:pPr>
            <w:r w:rsidRPr="004608CC">
              <w:rPr>
                <w:sz w:val="20"/>
                <w:szCs w:val="20"/>
              </w:rPr>
              <w:t>A helyzetfeltárás egyértelműen beazonosítja a stratégia szempontjából fejlesztés középpontjába helyezendő célcsoportokat, közösségeket, fejlesztési területeket, térségeket.</w:t>
            </w:r>
          </w:p>
        </w:tc>
        <w:tc>
          <w:tcPr>
            <w:tcW w:w="5386" w:type="dxa"/>
          </w:tcPr>
          <w:p w:rsidR="00CC1FF4" w:rsidRPr="00030988" w:rsidRDefault="00CC1FF4" w:rsidP="00030988">
            <w:pPr>
              <w:pStyle w:val="Listaszerbekezds"/>
              <w:numPr>
                <w:ilvl w:val="0"/>
                <w:numId w:val="21"/>
              </w:numPr>
              <w:tabs>
                <w:tab w:val="clear" w:pos="535"/>
                <w:tab w:val="num" w:pos="333"/>
              </w:tabs>
              <w:spacing w:after="0" w:line="240" w:lineRule="auto"/>
              <w:ind w:left="329" w:hanging="357"/>
              <w:jc w:val="both"/>
              <w:rPr>
                <w:i/>
                <w:sz w:val="20"/>
                <w:szCs w:val="20"/>
              </w:rPr>
            </w:pPr>
            <w:r w:rsidRPr="00030988">
              <w:rPr>
                <w:i/>
                <w:sz w:val="20"/>
                <w:szCs w:val="20"/>
              </w:rPr>
              <w:t>A 4.1.4. „A társadalom állapota” fejezetben igen szűkszavú a civil szervezetekre vonatkozó ismertető. Tekintettel arra, hogy a civil szervezetek a HFS kiemelt célcsoportját képezik, javasolt részletesebb bemutatásuk. (Pl. hány szervezet van, ezek milyen profillal rendelkeznek, melyek a főbb tevékenységeik, milyen speciális problémákkal küszködnek, szükségletekkel rendelkeznek).</w:t>
            </w:r>
            <w:r>
              <w:rPr>
                <w:i/>
                <w:sz w:val="20"/>
                <w:szCs w:val="20"/>
              </w:rPr>
              <w:t xml:space="preserve"> </w:t>
            </w:r>
          </w:p>
        </w:tc>
        <w:tc>
          <w:tcPr>
            <w:tcW w:w="4111" w:type="dxa"/>
          </w:tcPr>
          <w:p w:rsidR="00CC1FF4" w:rsidRPr="004608CC" w:rsidRDefault="00A76B7D" w:rsidP="000D6B20">
            <w:pPr>
              <w:spacing w:after="0" w:line="240" w:lineRule="auto"/>
            </w:pPr>
            <w:r>
              <w:t>A civil szervezetekkel foglalkozó bekezdés terjedelme a 3-szorosára lett növelve. Bővebben kifejtésre került a térségben működő civil szervezetek száma, azok viszonya az akciócsoporthoz, tevékenységük, problémáik és szükségletük.</w:t>
            </w:r>
          </w:p>
        </w:tc>
        <w:tc>
          <w:tcPr>
            <w:tcW w:w="2126" w:type="dxa"/>
          </w:tcPr>
          <w:p w:rsidR="00D12B9A" w:rsidRDefault="00506730" w:rsidP="000D6B20">
            <w:pPr>
              <w:spacing w:after="0" w:line="240" w:lineRule="auto"/>
            </w:pPr>
            <w:r>
              <w:t>17</w:t>
            </w:r>
            <w:r w:rsidR="00D12B9A">
              <w:t>. oldal</w:t>
            </w:r>
          </w:p>
          <w:p w:rsidR="00CC1FF4" w:rsidRPr="004608CC" w:rsidRDefault="00A76B7D" w:rsidP="000D6B20">
            <w:pPr>
              <w:spacing w:after="0" w:line="240" w:lineRule="auto"/>
            </w:pPr>
            <w:r>
              <w:t>4.1.4. alfejezet</w:t>
            </w:r>
          </w:p>
        </w:tc>
      </w:tr>
      <w:tr w:rsidR="00CC1FF4" w:rsidRPr="004608CC" w:rsidTr="00B334C6">
        <w:trPr>
          <w:trHeight w:val="2234"/>
        </w:trPr>
        <w:tc>
          <w:tcPr>
            <w:tcW w:w="2836" w:type="dxa"/>
            <w:vMerge/>
          </w:tcPr>
          <w:p w:rsidR="00CC1FF4" w:rsidRPr="004608CC" w:rsidRDefault="00CC1FF4" w:rsidP="000D6B20">
            <w:pPr>
              <w:spacing w:after="0" w:line="240" w:lineRule="auto"/>
            </w:pPr>
          </w:p>
        </w:tc>
        <w:tc>
          <w:tcPr>
            <w:tcW w:w="5386" w:type="dxa"/>
          </w:tcPr>
          <w:p w:rsidR="00CC1FF4" w:rsidRPr="00030988" w:rsidRDefault="00CC1FF4" w:rsidP="00030988">
            <w:pPr>
              <w:pStyle w:val="Listaszerbekezds"/>
              <w:numPr>
                <w:ilvl w:val="0"/>
                <w:numId w:val="21"/>
              </w:numPr>
              <w:tabs>
                <w:tab w:val="clear" w:pos="535"/>
                <w:tab w:val="num" w:pos="333"/>
              </w:tabs>
              <w:spacing w:after="0" w:line="240" w:lineRule="auto"/>
              <w:ind w:left="329" w:hanging="357"/>
              <w:jc w:val="both"/>
              <w:rPr>
                <w:i/>
                <w:sz w:val="20"/>
                <w:szCs w:val="20"/>
              </w:rPr>
            </w:pPr>
            <w:r w:rsidRPr="00CD0DCE">
              <w:rPr>
                <w:i/>
                <w:sz w:val="20"/>
                <w:szCs w:val="20"/>
              </w:rPr>
              <w:t>A helyzetfeltárásban az útmutatóban foglaltak</w:t>
            </w:r>
            <w:r>
              <w:rPr>
                <w:i/>
                <w:sz w:val="20"/>
                <w:szCs w:val="20"/>
              </w:rPr>
              <w:t xml:space="preserve"> szerint javasoljuk </w:t>
            </w:r>
            <w:r w:rsidRPr="00CD0DCE">
              <w:rPr>
                <w:i/>
                <w:sz w:val="20"/>
                <w:szCs w:val="20"/>
              </w:rPr>
              <w:t>röviden összegezni a néhány lényeges társadalmi-gazdasági körülményt (szükséglet, adottság, lehetőség), amely a HFS stratégiai irányát</w:t>
            </w:r>
            <w:r w:rsidRPr="00B334C6">
              <w:rPr>
                <w:i/>
                <w:sz w:val="20"/>
                <w:szCs w:val="20"/>
              </w:rPr>
              <w:t xml:space="preserve"> a </w:t>
            </w:r>
            <w:r w:rsidRPr="00CD0DCE">
              <w:rPr>
                <w:i/>
                <w:sz w:val="20"/>
                <w:szCs w:val="20"/>
              </w:rPr>
              <w:t>leginkább meghatározza</w:t>
            </w:r>
            <w:r>
              <w:rPr>
                <w:i/>
                <w:sz w:val="20"/>
                <w:szCs w:val="20"/>
              </w:rPr>
              <w:t xml:space="preserve">, beleértve a </w:t>
            </w:r>
            <w:r w:rsidRPr="00B334C6">
              <w:rPr>
                <w:i/>
                <w:sz w:val="20"/>
                <w:szCs w:val="20"/>
              </w:rPr>
              <w:t>fejlesztés középpontjába helyezendő célcsoportok, fejlesztési területek beazonosítását (ennek egy részét a vezetői összefoglaló tartalmazza.</w:t>
            </w:r>
          </w:p>
        </w:tc>
        <w:tc>
          <w:tcPr>
            <w:tcW w:w="4111" w:type="dxa"/>
          </w:tcPr>
          <w:p w:rsidR="00CC1FF4" w:rsidRPr="004608CC" w:rsidRDefault="00FD195B" w:rsidP="000D6B20">
            <w:pPr>
              <w:spacing w:after="0" w:line="240" w:lineRule="auto"/>
            </w:pPr>
            <w:r>
              <w:t>A helyzetfeltárás végén 4.1.6. sorszámmal új alfejezet került megfogalmazásra, mely a helyzetfeltárás összegzését tartalmazza.</w:t>
            </w:r>
          </w:p>
        </w:tc>
        <w:tc>
          <w:tcPr>
            <w:tcW w:w="2126" w:type="dxa"/>
          </w:tcPr>
          <w:p w:rsidR="00D12B9A" w:rsidRDefault="00506730" w:rsidP="000D6B20">
            <w:pPr>
              <w:spacing w:after="0" w:line="240" w:lineRule="auto"/>
            </w:pPr>
            <w:r>
              <w:t>21-22</w:t>
            </w:r>
            <w:r w:rsidR="00D12B9A">
              <w:t>. oldal</w:t>
            </w:r>
          </w:p>
          <w:p w:rsidR="00CC1FF4" w:rsidRPr="004608CC" w:rsidRDefault="00FD195B" w:rsidP="000D6B20">
            <w:pPr>
              <w:spacing w:after="0" w:line="240" w:lineRule="auto"/>
            </w:pPr>
            <w:r>
              <w:t>4.1.6. alfejezet</w:t>
            </w:r>
          </w:p>
        </w:tc>
      </w:tr>
      <w:tr w:rsidR="00CC1FF4" w:rsidRPr="004608CC" w:rsidTr="004608CC">
        <w:tc>
          <w:tcPr>
            <w:tcW w:w="14459" w:type="dxa"/>
            <w:gridSpan w:val="4"/>
            <w:tcBorders>
              <w:top w:val="nil"/>
              <w:left w:val="nil"/>
              <w:bottom w:val="nil"/>
              <w:right w:val="nil"/>
            </w:tcBorders>
            <w:shd w:val="clear" w:color="auto" w:fill="538135"/>
            <w:vAlign w:val="center"/>
          </w:tcPr>
          <w:p w:rsidR="00CC1FF4" w:rsidRPr="00B334C6" w:rsidRDefault="00CC1FF4" w:rsidP="00B334C6">
            <w:pPr>
              <w:pStyle w:val="Listaszerbekezds"/>
              <w:numPr>
                <w:ilvl w:val="0"/>
                <w:numId w:val="6"/>
              </w:numPr>
              <w:spacing w:after="0" w:line="240" w:lineRule="auto"/>
              <w:jc w:val="center"/>
              <w:rPr>
                <w:i/>
                <w:color w:val="FFFFFF"/>
                <w:sz w:val="20"/>
                <w:szCs w:val="20"/>
              </w:rPr>
            </w:pPr>
            <w:r w:rsidRPr="00B334C6">
              <w:rPr>
                <w:i/>
                <w:color w:val="FFFFFF"/>
                <w:sz w:val="20"/>
                <w:szCs w:val="20"/>
              </w:rPr>
              <w:t>A HFS építése a korábbi vidékfejlesztési programok tapasztalataira, továbbá a térséget érintő tervezési előzményekre, aktuális programokra, szolgáltatásokra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i/>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A94474" w:rsidRPr="004608CC" w:rsidTr="00A94474">
        <w:trPr>
          <w:trHeight w:val="1100"/>
        </w:trPr>
        <w:tc>
          <w:tcPr>
            <w:tcW w:w="2836" w:type="dxa"/>
            <w:vMerge w:val="restart"/>
          </w:tcPr>
          <w:p w:rsidR="00A94474" w:rsidRPr="004608CC" w:rsidRDefault="00A94474" w:rsidP="004608CC">
            <w:pPr>
              <w:spacing w:after="0" w:line="240" w:lineRule="auto"/>
              <w:rPr>
                <w:sz w:val="20"/>
                <w:szCs w:val="20"/>
              </w:rPr>
            </w:pPr>
            <w:r w:rsidRPr="004608CC">
              <w:rPr>
                <w:sz w:val="20"/>
                <w:szCs w:val="20"/>
              </w:rPr>
              <w:lastRenderedPageBreak/>
              <w:t>A HACS kielemezte és bemutatta a korábbi időszakban alkalmazott HVS megvalósításának tapasztalatait és figyelembe vette a stratégia kialakításában.</w:t>
            </w:r>
          </w:p>
          <w:p w:rsidR="00A94474" w:rsidRPr="004608CC" w:rsidRDefault="00A94474" w:rsidP="004608CC">
            <w:pPr>
              <w:spacing w:after="0" w:line="240" w:lineRule="auto"/>
            </w:pPr>
          </w:p>
          <w:p w:rsidR="00A94474" w:rsidRPr="004608CC" w:rsidRDefault="00A94474" w:rsidP="004608CC">
            <w:pPr>
              <w:spacing w:after="0" w:line="240" w:lineRule="auto"/>
              <w:rPr>
                <w:sz w:val="20"/>
                <w:szCs w:val="20"/>
              </w:rPr>
            </w:pPr>
            <w:r w:rsidRPr="004608CC">
              <w:rPr>
                <w:sz w:val="20"/>
                <w:szCs w:val="20"/>
              </w:rPr>
              <w:t>A vonatkozó fejezet beazonosítja a 2014-2020-as OP-k és a VP HFS szempontjából releváns beavatkozási területeit és a helyzetfeltárásra alapozva indokolja azok fontosságát.</w:t>
            </w:r>
          </w:p>
          <w:p w:rsidR="00A94474" w:rsidRPr="004608CC" w:rsidRDefault="00A94474" w:rsidP="004608CC">
            <w:pPr>
              <w:spacing w:after="0" w:line="240" w:lineRule="auto"/>
              <w:rPr>
                <w:sz w:val="20"/>
                <w:szCs w:val="20"/>
              </w:rPr>
            </w:pPr>
          </w:p>
          <w:p w:rsidR="00A94474" w:rsidRPr="004608CC" w:rsidRDefault="00A94474" w:rsidP="004608CC">
            <w:pPr>
              <w:spacing w:after="0" w:line="240" w:lineRule="auto"/>
              <w:rPr>
                <w:sz w:val="20"/>
                <w:szCs w:val="20"/>
              </w:rPr>
            </w:pPr>
            <w:r w:rsidRPr="004608CC">
              <w:rPr>
                <w:sz w:val="20"/>
                <w:szCs w:val="20"/>
              </w:rPr>
              <w:t xml:space="preserve">A vonatkozó fejezet áttekinti a HFS tartalmát befolyásoló megyei, járási, települési szinten megfogalmazott fejlesztési prioritásokat/beavatkozási területeket/jelentős projekteket és bemutatja a kapcsolatukat a </w:t>
            </w:r>
            <w:proofErr w:type="spellStart"/>
            <w:r w:rsidRPr="004608CC">
              <w:rPr>
                <w:sz w:val="20"/>
                <w:szCs w:val="20"/>
              </w:rPr>
              <w:t>HFS-sel</w:t>
            </w:r>
            <w:proofErr w:type="spellEnd"/>
            <w:r w:rsidRPr="004608CC">
              <w:rPr>
                <w:sz w:val="20"/>
                <w:szCs w:val="20"/>
              </w:rPr>
              <w:t>.</w:t>
            </w:r>
          </w:p>
          <w:p w:rsidR="00A94474" w:rsidRPr="004608CC" w:rsidRDefault="00A94474" w:rsidP="004608CC">
            <w:pPr>
              <w:spacing w:after="0" w:line="240" w:lineRule="auto"/>
              <w:rPr>
                <w:sz w:val="20"/>
                <w:szCs w:val="20"/>
              </w:rPr>
            </w:pPr>
          </w:p>
          <w:p w:rsidR="00A94474" w:rsidRPr="004608CC" w:rsidRDefault="00A94474" w:rsidP="004608CC">
            <w:pPr>
              <w:spacing w:after="0" w:line="240" w:lineRule="auto"/>
            </w:pPr>
            <w:r w:rsidRPr="004608CC">
              <w:rPr>
                <w:sz w:val="20"/>
                <w:szCs w:val="20"/>
              </w:rPr>
              <w:t xml:space="preserve">A vonatkozó fejezet áttekinti a HFS tartalmát befolyásoló, a térség gazdasági, környezeti és a befogadást támogató programokat, szolgáltatásokat és bemutatja kapcsolatukat (komplementaritás, koherencia) a </w:t>
            </w:r>
            <w:proofErr w:type="spellStart"/>
            <w:r w:rsidRPr="004608CC">
              <w:rPr>
                <w:sz w:val="20"/>
                <w:szCs w:val="20"/>
              </w:rPr>
              <w:t>HFS-sel</w:t>
            </w:r>
            <w:proofErr w:type="spellEnd"/>
            <w:r w:rsidRPr="004608CC">
              <w:rPr>
                <w:sz w:val="20"/>
                <w:szCs w:val="20"/>
              </w:rPr>
              <w:t>.</w:t>
            </w:r>
          </w:p>
        </w:tc>
        <w:tc>
          <w:tcPr>
            <w:tcW w:w="5386" w:type="dxa"/>
          </w:tcPr>
          <w:p w:rsidR="00A94474" w:rsidRPr="00B334C6" w:rsidRDefault="00A94474" w:rsidP="0028418A">
            <w:pPr>
              <w:pStyle w:val="Listaszerbekezds"/>
              <w:numPr>
                <w:ilvl w:val="0"/>
                <w:numId w:val="21"/>
              </w:numPr>
              <w:tabs>
                <w:tab w:val="clear" w:pos="535"/>
                <w:tab w:val="num" w:pos="333"/>
              </w:tabs>
              <w:spacing w:after="0" w:line="240" w:lineRule="auto"/>
              <w:ind w:left="329" w:hanging="357"/>
              <w:jc w:val="both"/>
              <w:rPr>
                <w:i/>
                <w:sz w:val="20"/>
                <w:szCs w:val="20"/>
              </w:rPr>
            </w:pPr>
            <w:r w:rsidRPr="0028418A">
              <w:rPr>
                <w:i/>
                <w:sz w:val="20"/>
                <w:szCs w:val="20"/>
              </w:rPr>
              <w:t xml:space="preserve">Javasoljuk a 4.3 fejezetben a megyei területfejlesztési koncepció helyett a megyei program, illetve a Nagyatád és Barcs </w:t>
            </w:r>
            <w:proofErr w:type="spellStart"/>
            <w:r w:rsidRPr="0028418A">
              <w:rPr>
                <w:i/>
                <w:sz w:val="20"/>
                <w:szCs w:val="20"/>
              </w:rPr>
              <w:t>ITS-ének</w:t>
            </w:r>
            <w:proofErr w:type="spellEnd"/>
            <w:r w:rsidRPr="0028418A">
              <w:rPr>
                <w:i/>
                <w:sz w:val="20"/>
                <w:szCs w:val="20"/>
              </w:rPr>
              <w:t xml:space="preserve"> </w:t>
            </w:r>
            <w:proofErr w:type="spellStart"/>
            <w:r w:rsidRPr="0028418A">
              <w:rPr>
                <w:i/>
                <w:sz w:val="20"/>
                <w:szCs w:val="20"/>
              </w:rPr>
              <w:t>HFS-hez</w:t>
            </w:r>
            <w:proofErr w:type="spellEnd"/>
            <w:r w:rsidRPr="0028418A">
              <w:rPr>
                <w:i/>
                <w:sz w:val="20"/>
                <w:szCs w:val="20"/>
              </w:rPr>
              <w:t xml:space="preserve"> kapcsolható intézkedéseit és az egymásra épülés módját bemutatni röviden (ha van).</w:t>
            </w:r>
            <w:r>
              <w:rPr>
                <w:rFonts w:cs="Arial"/>
                <w:i/>
                <w:sz w:val="20"/>
                <w:szCs w:val="20"/>
              </w:rPr>
              <w:t xml:space="preserve"> </w:t>
            </w:r>
          </w:p>
        </w:tc>
        <w:tc>
          <w:tcPr>
            <w:tcW w:w="4111" w:type="dxa"/>
          </w:tcPr>
          <w:p w:rsidR="00A94474" w:rsidRPr="004608CC" w:rsidRDefault="00725CC0" w:rsidP="004608CC">
            <w:pPr>
              <w:spacing w:after="0" w:line="240" w:lineRule="auto"/>
            </w:pPr>
            <w:r>
              <w:t xml:space="preserve">Mivel a két város nem jogosult település a VP-ben és ezért nem szól rájuk a HFS, ezért nem az ő településfejlesztési stratégiáikhoz való illeszkedés bemutatását választottuk. Ettől függetlenül megvannak a kapcsolódási pontok, melyekkel a javaslatnak megfelelően bővítettük a </w:t>
            </w:r>
            <w:proofErr w:type="spellStart"/>
            <w:r>
              <w:t>HFS-t</w:t>
            </w:r>
            <w:proofErr w:type="spellEnd"/>
            <w:r>
              <w:t>, de a megyei koncepcióhoz való illeszkedést is megtartanánk, hiszen azt relevánsabbnak tartjuk.</w:t>
            </w:r>
          </w:p>
        </w:tc>
        <w:tc>
          <w:tcPr>
            <w:tcW w:w="2126" w:type="dxa"/>
          </w:tcPr>
          <w:p w:rsidR="00725CC0" w:rsidRDefault="00506730" w:rsidP="00725CC0">
            <w:pPr>
              <w:spacing w:after="0" w:line="240" w:lineRule="auto"/>
            </w:pPr>
            <w:r>
              <w:t>24-25</w:t>
            </w:r>
            <w:r w:rsidR="00725CC0">
              <w:t>. oldal</w:t>
            </w:r>
          </w:p>
          <w:p w:rsidR="00A94474" w:rsidRPr="004608CC" w:rsidRDefault="00725CC0" w:rsidP="00725CC0">
            <w:pPr>
              <w:spacing w:after="0" w:line="240" w:lineRule="auto"/>
            </w:pPr>
            <w:r>
              <w:t>4.3</w:t>
            </w:r>
            <w:r w:rsidR="00506730">
              <w:t>.</w:t>
            </w:r>
            <w:r>
              <w:t xml:space="preserve"> fejezet</w:t>
            </w:r>
          </w:p>
        </w:tc>
      </w:tr>
      <w:tr w:rsidR="00CC1FF4" w:rsidRPr="004608CC" w:rsidTr="004608CC">
        <w:trPr>
          <w:trHeight w:val="1221"/>
        </w:trPr>
        <w:tc>
          <w:tcPr>
            <w:tcW w:w="2836" w:type="dxa"/>
            <w:vMerge/>
          </w:tcPr>
          <w:p w:rsidR="00CC1FF4" w:rsidRPr="004608CC" w:rsidRDefault="00CC1FF4" w:rsidP="004608CC">
            <w:pPr>
              <w:spacing w:after="0" w:line="240" w:lineRule="auto"/>
            </w:pPr>
          </w:p>
        </w:tc>
        <w:tc>
          <w:tcPr>
            <w:tcW w:w="5386" w:type="dxa"/>
          </w:tcPr>
          <w:p w:rsidR="00CC1FF4" w:rsidRDefault="00381DE5" w:rsidP="00381DE5">
            <w:pPr>
              <w:pStyle w:val="Listaszerbekezds"/>
              <w:numPr>
                <w:ilvl w:val="0"/>
                <w:numId w:val="21"/>
              </w:numPr>
              <w:tabs>
                <w:tab w:val="clear" w:pos="535"/>
                <w:tab w:val="num" w:pos="333"/>
              </w:tabs>
              <w:spacing w:after="0" w:line="240" w:lineRule="auto"/>
              <w:ind w:left="329" w:hanging="357"/>
              <w:jc w:val="both"/>
            </w:pPr>
            <w:r w:rsidRPr="00381DE5">
              <w:rPr>
                <w:i/>
                <w:sz w:val="20"/>
                <w:szCs w:val="20"/>
              </w:rPr>
              <w:t>Javasolt esetleg a Nemzeti Parkos lehetséges együttműködések feltárása.</w:t>
            </w:r>
          </w:p>
        </w:tc>
        <w:tc>
          <w:tcPr>
            <w:tcW w:w="4111" w:type="dxa"/>
          </w:tcPr>
          <w:p w:rsidR="00CC1FF4" w:rsidRPr="004608CC" w:rsidRDefault="007A2DCD" w:rsidP="004608CC">
            <w:pPr>
              <w:spacing w:after="0" w:line="240" w:lineRule="auto"/>
            </w:pPr>
            <w:r>
              <w:t>A 8.2. fejezetben már korábban is kifejtésre került, melyben hangsúlyozásra került a Nemzeti Park szerepe</w:t>
            </w:r>
            <w:r w:rsidR="00725CC0">
              <w:t xml:space="preserve"> a túraútvonalak kijelölésében</w:t>
            </w:r>
            <w:r>
              <w:t>.</w:t>
            </w:r>
          </w:p>
        </w:tc>
        <w:tc>
          <w:tcPr>
            <w:tcW w:w="2126" w:type="dxa"/>
          </w:tcPr>
          <w:p w:rsidR="00CC1FF4" w:rsidRDefault="00506730" w:rsidP="004608CC">
            <w:pPr>
              <w:spacing w:after="0" w:line="240" w:lineRule="auto"/>
            </w:pPr>
            <w:r>
              <w:t>41</w:t>
            </w:r>
            <w:r w:rsidR="007A2DCD">
              <w:t>. oldal</w:t>
            </w:r>
          </w:p>
          <w:p w:rsidR="00D12B9A" w:rsidRPr="004608CC" w:rsidRDefault="00D12B9A" w:rsidP="004608CC">
            <w:pPr>
              <w:spacing w:after="0" w:line="240" w:lineRule="auto"/>
            </w:pPr>
            <w:r>
              <w:t>8.2. fejezet</w:t>
            </w:r>
          </w:p>
        </w:tc>
      </w:tr>
      <w:tr w:rsidR="00CC1FF4" w:rsidRPr="004608CC" w:rsidTr="004608CC">
        <w:tc>
          <w:tcPr>
            <w:tcW w:w="14459" w:type="dxa"/>
            <w:gridSpan w:val="4"/>
            <w:tcBorders>
              <w:top w:val="nil"/>
              <w:left w:val="nil"/>
              <w:bottom w:val="nil"/>
              <w:right w:val="nil"/>
            </w:tcBorders>
            <w:shd w:val="clear" w:color="auto" w:fill="538135"/>
            <w:vAlign w:val="center"/>
          </w:tcPr>
          <w:p w:rsidR="00CC1FF4" w:rsidRPr="004608CC" w:rsidRDefault="00CC1FF4" w:rsidP="004608CC">
            <w:pPr>
              <w:spacing w:before="60" w:after="60" w:line="240" w:lineRule="auto"/>
              <w:jc w:val="center"/>
              <w:rPr>
                <w:b/>
                <w:i/>
                <w:color w:val="FFFFFF"/>
              </w:rPr>
            </w:pPr>
            <w:r w:rsidRPr="004608CC">
              <w:rPr>
                <w:b/>
                <w:i/>
                <w:color w:val="FFFFFF"/>
                <w:sz w:val="20"/>
                <w:szCs w:val="20"/>
              </w:rPr>
              <w:t>A szükségletek és lehetőségek kapcsolata a helyzetfeltárással</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4608CC">
        <w:tc>
          <w:tcPr>
            <w:tcW w:w="2836" w:type="dxa"/>
            <w:vMerge w:val="restart"/>
            <w:vAlign w:val="center"/>
          </w:tcPr>
          <w:p w:rsidR="00CC1FF4" w:rsidRPr="004608CC" w:rsidRDefault="00CC1FF4" w:rsidP="004608CC">
            <w:pPr>
              <w:spacing w:after="0" w:line="240" w:lineRule="auto"/>
              <w:rPr>
                <w:sz w:val="20"/>
                <w:szCs w:val="20"/>
              </w:rPr>
            </w:pPr>
            <w:r w:rsidRPr="004608CC">
              <w:rPr>
                <w:sz w:val="20"/>
                <w:szCs w:val="20"/>
              </w:rPr>
              <w:lastRenderedPageBreak/>
              <w:t>A SWOT elemzés az útmutatónak megfelelő logika szerint készült</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pPr>
            <w:r w:rsidRPr="004608CC">
              <w:rPr>
                <w:sz w:val="20"/>
                <w:szCs w:val="20"/>
              </w:rPr>
              <w:t>A SWOT elemzés megállapításait a helyzetfeltárás megalapozza, a kapcsolat egyértelmű</w:t>
            </w:r>
          </w:p>
        </w:tc>
        <w:tc>
          <w:tcPr>
            <w:tcW w:w="5386" w:type="dxa"/>
          </w:tcPr>
          <w:p w:rsidR="00CC1FF4" w:rsidRPr="00464027" w:rsidRDefault="00CC1FF4" w:rsidP="00381DE5">
            <w:pPr>
              <w:pStyle w:val="Listaszerbekezds"/>
              <w:numPr>
                <w:ilvl w:val="0"/>
                <w:numId w:val="21"/>
              </w:numPr>
              <w:tabs>
                <w:tab w:val="clear" w:pos="535"/>
                <w:tab w:val="num" w:pos="333"/>
              </w:tabs>
              <w:spacing w:after="0" w:line="240" w:lineRule="auto"/>
              <w:ind w:left="329" w:hanging="357"/>
              <w:jc w:val="both"/>
              <w:rPr>
                <w:i/>
                <w:sz w:val="20"/>
                <w:szCs w:val="20"/>
              </w:rPr>
            </w:pPr>
            <w:r w:rsidRPr="00464027">
              <w:rPr>
                <w:i/>
                <w:sz w:val="20"/>
                <w:szCs w:val="20"/>
              </w:rPr>
              <w:t xml:space="preserve">(Általában véve a </w:t>
            </w:r>
            <w:proofErr w:type="spellStart"/>
            <w:r w:rsidRPr="00464027">
              <w:rPr>
                <w:i/>
                <w:sz w:val="20"/>
                <w:szCs w:val="20"/>
              </w:rPr>
              <w:t>SWOT-ban</w:t>
            </w:r>
            <w:proofErr w:type="spellEnd"/>
            <w:r w:rsidRPr="00464027">
              <w:rPr>
                <w:i/>
                <w:sz w:val="20"/>
                <w:szCs w:val="20"/>
              </w:rPr>
              <w:t xml:space="preserve"> a gazdaságra vonatkozó megállapítások kapnak nagy hangsúlyt, a helyzetfeltárásban megemlített környezeti, társadalmi problémák is „gazdasági szemüvegen” keresztül lettek értelmezve. Javasolt a helyzetfeltárásban részletezett problémák és a SWOT gyengeségei közötti koherencia erősítése. </w:t>
            </w:r>
          </w:p>
        </w:tc>
        <w:tc>
          <w:tcPr>
            <w:tcW w:w="4111" w:type="dxa"/>
          </w:tcPr>
          <w:p w:rsidR="00CC1FF4" w:rsidRPr="004608CC" w:rsidRDefault="00C85F3A" w:rsidP="00D200A5">
            <w:pPr>
              <w:spacing w:after="0" w:line="240" w:lineRule="auto"/>
            </w:pPr>
            <w:r>
              <w:t xml:space="preserve">A teljes </w:t>
            </w:r>
            <w:r w:rsidR="00D200A5">
              <w:t>SWOT</w:t>
            </w:r>
            <w:r>
              <w:t xml:space="preserve"> átdolgozásra került</w:t>
            </w:r>
            <w:r w:rsidR="0047591E">
              <w:t xml:space="preserve"> a koherencia erősítése érdekében</w:t>
            </w:r>
            <w:r>
              <w:t>, figyelembe véve a VP térségre vonatkozó megállapításait is.</w:t>
            </w:r>
          </w:p>
        </w:tc>
        <w:tc>
          <w:tcPr>
            <w:tcW w:w="2126" w:type="dxa"/>
          </w:tcPr>
          <w:p w:rsidR="00D12B9A" w:rsidRDefault="00506730" w:rsidP="004608CC">
            <w:pPr>
              <w:spacing w:after="0" w:line="240" w:lineRule="auto"/>
            </w:pPr>
            <w:r>
              <w:t>25-26</w:t>
            </w:r>
            <w:r w:rsidR="00D12B9A">
              <w:t>. oldal</w:t>
            </w:r>
          </w:p>
          <w:p w:rsidR="00CC1FF4" w:rsidRPr="004608CC" w:rsidRDefault="00C77F8B" w:rsidP="004608CC">
            <w:pPr>
              <w:spacing w:after="0" w:line="240" w:lineRule="auto"/>
            </w:pPr>
            <w:r>
              <w:t>4.4</w:t>
            </w:r>
            <w:r w:rsidR="00506730">
              <w:t>.</w:t>
            </w:r>
            <w:r>
              <w:t xml:space="preserve"> fejezet</w:t>
            </w:r>
          </w:p>
        </w:tc>
      </w:tr>
      <w:tr w:rsidR="00CC1FF4" w:rsidRPr="004608CC" w:rsidTr="004608CC">
        <w:tc>
          <w:tcPr>
            <w:tcW w:w="2836" w:type="dxa"/>
            <w:vMerge/>
          </w:tcPr>
          <w:p w:rsidR="00CC1FF4" w:rsidRPr="004608CC" w:rsidRDefault="00CC1FF4" w:rsidP="004608CC">
            <w:pPr>
              <w:spacing w:after="0" w:line="240" w:lineRule="auto"/>
            </w:pPr>
          </w:p>
        </w:tc>
        <w:tc>
          <w:tcPr>
            <w:tcW w:w="5386" w:type="dxa"/>
          </w:tcPr>
          <w:p w:rsidR="00CC1FF4" w:rsidRPr="00464027" w:rsidRDefault="00CC1FF4" w:rsidP="0028418A">
            <w:pPr>
              <w:pStyle w:val="Listaszerbekezds"/>
              <w:numPr>
                <w:ilvl w:val="0"/>
                <w:numId w:val="21"/>
              </w:numPr>
              <w:tabs>
                <w:tab w:val="clear" w:pos="535"/>
                <w:tab w:val="num" w:pos="333"/>
              </w:tabs>
              <w:spacing w:after="0" w:line="240" w:lineRule="auto"/>
              <w:ind w:left="329" w:hanging="357"/>
              <w:jc w:val="both"/>
              <w:rPr>
                <w:i/>
                <w:sz w:val="20"/>
                <w:szCs w:val="20"/>
              </w:rPr>
            </w:pPr>
            <w:r w:rsidRPr="00464027">
              <w:rPr>
                <w:i/>
                <w:sz w:val="20"/>
                <w:szCs w:val="20"/>
              </w:rPr>
              <w:t xml:space="preserve">Célszerű lenne a gyengeségek között megemlíteni a </w:t>
            </w:r>
            <w:proofErr w:type="spellStart"/>
            <w:r w:rsidRPr="00464027">
              <w:rPr>
                <w:i/>
                <w:sz w:val="20"/>
                <w:szCs w:val="20"/>
              </w:rPr>
              <w:t>HACS-térség</w:t>
            </w:r>
            <w:proofErr w:type="spellEnd"/>
            <w:r w:rsidRPr="00464027">
              <w:rPr>
                <w:i/>
                <w:sz w:val="20"/>
                <w:szCs w:val="20"/>
              </w:rPr>
              <w:t xml:space="preserve"> munkaerőpiacával kapcsolatos problémákat (pl. munkahelyek hiányával összefüggő elvándorlás, különösen a képzett, fiatal munkaerő vonatkozásában), hiszen ezt a problématerületet fejlesztési szükségletként azonosítják és specifikus célként is megjelenik a Stratégiában.  </w:t>
            </w:r>
          </w:p>
        </w:tc>
        <w:tc>
          <w:tcPr>
            <w:tcW w:w="4111" w:type="dxa"/>
          </w:tcPr>
          <w:p w:rsidR="00CC1FF4" w:rsidRPr="004608CC" w:rsidRDefault="00D200A5" w:rsidP="004608CC">
            <w:pPr>
              <w:spacing w:after="0" w:line="240" w:lineRule="auto"/>
            </w:pPr>
            <w:r>
              <w:t>A javaslatnak megfelelően átdolgozásra került a SWOT analízis gyengeségek fejezete.</w:t>
            </w:r>
          </w:p>
        </w:tc>
        <w:tc>
          <w:tcPr>
            <w:tcW w:w="2126" w:type="dxa"/>
          </w:tcPr>
          <w:p w:rsidR="00D12B9A" w:rsidRDefault="00506730" w:rsidP="004608CC">
            <w:pPr>
              <w:spacing w:after="0" w:line="240" w:lineRule="auto"/>
            </w:pPr>
            <w:r>
              <w:t>25-26</w:t>
            </w:r>
            <w:r w:rsidR="00D12B9A">
              <w:t>. oldal</w:t>
            </w:r>
          </w:p>
          <w:p w:rsidR="00CC1FF4" w:rsidRPr="004608CC" w:rsidRDefault="00C77F8B" w:rsidP="004608CC">
            <w:pPr>
              <w:spacing w:after="0" w:line="240" w:lineRule="auto"/>
            </w:pPr>
            <w:r>
              <w:t>4.4</w:t>
            </w:r>
            <w:r w:rsidR="00506730">
              <w:t>.</w:t>
            </w:r>
            <w:r>
              <w:t xml:space="preserve"> fejezet</w:t>
            </w:r>
          </w:p>
        </w:tc>
      </w:tr>
      <w:tr w:rsidR="00A94474" w:rsidRPr="004608CC" w:rsidTr="00990823">
        <w:trPr>
          <w:trHeight w:val="1709"/>
        </w:trPr>
        <w:tc>
          <w:tcPr>
            <w:tcW w:w="2836" w:type="dxa"/>
            <w:vMerge/>
          </w:tcPr>
          <w:p w:rsidR="00A94474" w:rsidRPr="004608CC" w:rsidRDefault="00A94474" w:rsidP="004608CC">
            <w:pPr>
              <w:spacing w:after="0" w:line="240" w:lineRule="auto"/>
            </w:pPr>
          </w:p>
        </w:tc>
        <w:tc>
          <w:tcPr>
            <w:tcW w:w="5386" w:type="dxa"/>
          </w:tcPr>
          <w:p w:rsidR="00A94474" w:rsidRPr="0028418A" w:rsidRDefault="00A94474" w:rsidP="0028418A">
            <w:pPr>
              <w:pStyle w:val="Listaszerbekezds"/>
              <w:numPr>
                <w:ilvl w:val="0"/>
                <w:numId w:val="21"/>
              </w:numPr>
              <w:tabs>
                <w:tab w:val="clear" w:pos="535"/>
                <w:tab w:val="num" w:pos="333"/>
              </w:tabs>
              <w:spacing w:after="0" w:line="240" w:lineRule="auto"/>
              <w:ind w:left="329" w:hanging="357"/>
              <w:jc w:val="both"/>
              <w:rPr>
                <w:i/>
                <w:sz w:val="20"/>
                <w:szCs w:val="20"/>
              </w:rPr>
            </w:pPr>
            <w:r>
              <w:rPr>
                <w:i/>
                <w:sz w:val="20"/>
                <w:szCs w:val="20"/>
              </w:rPr>
              <w:t xml:space="preserve">a SWOT L1,2,3,5,6,8,9 inkább tevékenység, intézkedés, válasz és nem az útmutató szerinti külső körülmény, tendencia, amely pozitívan hathat a HFS céljainak megvalósulására (de amelyre a </w:t>
            </w:r>
            <w:proofErr w:type="spellStart"/>
            <w:r>
              <w:rPr>
                <w:i/>
                <w:sz w:val="20"/>
                <w:szCs w:val="20"/>
              </w:rPr>
              <w:t>HFS-nek</w:t>
            </w:r>
            <w:proofErr w:type="spellEnd"/>
            <w:r>
              <w:rPr>
                <w:i/>
                <w:sz w:val="20"/>
                <w:szCs w:val="20"/>
              </w:rPr>
              <w:t xml:space="preserve"> nincs, vagy csekély ráhatása van). Ez sokszor csupán megfogalmazás kérdése. Javasoljuk a SWOT fent említett lehetőségeinek átgondolását.</w:t>
            </w:r>
          </w:p>
        </w:tc>
        <w:tc>
          <w:tcPr>
            <w:tcW w:w="4111" w:type="dxa"/>
          </w:tcPr>
          <w:p w:rsidR="00A94474" w:rsidRPr="004608CC" w:rsidRDefault="00C77F8B" w:rsidP="00C77F8B">
            <w:pPr>
              <w:spacing w:after="0" w:line="240" w:lineRule="auto"/>
            </w:pPr>
            <w:r>
              <w:t>A teljes SWOT átdolgozásra került a koherencia erősítése érdekében, különös figyelemmel a lehetőségekre.</w:t>
            </w:r>
          </w:p>
        </w:tc>
        <w:tc>
          <w:tcPr>
            <w:tcW w:w="2126" w:type="dxa"/>
          </w:tcPr>
          <w:p w:rsidR="00D12B9A" w:rsidRDefault="00506730" w:rsidP="004608CC">
            <w:pPr>
              <w:spacing w:after="0" w:line="240" w:lineRule="auto"/>
            </w:pPr>
            <w:r>
              <w:t>25-26</w:t>
            </w:r>
            <w:r w:rsidR="00D12B9A">
              <w:t>. oldal</w:t>
            </w:r>
          </w:p>
          <w:p w:rsidR="00A94474" w:rsidRPr="004608CC" w:rsidRDefault="00C77F8B" w:rsidP="004608CC">
            <w:pPr>
              <w:spacing w:after="0" w:line="240" w:lineRule="auto"/>
            </w:pPr>
            <w:r>
              <w:t>4.4</w:t>
            </w:r>
            <w:r w:rsidR="00506730">
              <w:t>.</w:t>
            </w:r>
            <w:r>
              <w:t xml:space="preserve"> fejezet</w:t>
            </w:r>
          </w:p>
        </w:tc>
      </w:tr>
      <w:tr w:rsidR="00CC1FF4" w:rsidRPr="004608CC" w:rsidTr="004608CC">
        <w:tc>
          <w:tcPr>
            <w:tcW w:w="2836" w:type="dxa"/>
            <w:vMerge/>
          </w:tcPr>
          <w:p w:rsidR="00CC1FF4" w:rsidRPr="004608CC" w:rsidRDefault="00CC1FF4" w:rsidP="004608CC">
            <w:pPr>
              <w:spacing w:after="0" w:line="240" w:lineRule="auto"/>
            </w:pPr>
          </w:p>
        </w:tc>
        <w:tc>
          <w:tcPr>
            <w:tcW w:w="5386" w:type="dxa"/>
          </w:tcPr>
          <w:p w:rsidR="00CC1FF4" w:rsidRPr="00464027" w:rsidRDefault="00CC1FF4" w:rsidP="00A94474">
            <w:pPr>
              <w:pStyle w:val="Listaszerbekezds"/>
              <w:numPr>
                <w:ilvl w:val="0"/>
                <w:numId w:val="21"/>
              </w:numPr>
              <w:tabs>
                <w:tab w:val="clear" w:pos="535"/>
                <w:tab w:val="num" w:pos="333"/>
              </w:tabs>
              <w:spacing w:after="0" w:line="240" w:lineRule="auto"/>
              <w:ind w:left="329" w:hanging="357"/>
              <w:jc w:val="both"/>
              <w:rPr>
                <w:i/>
                <w:sz w:val="20"/>
                <w:szCs w:val="20"/>
              </w:rPr>
            </w:pPr>
            <w:r w:rsidRPr="00464027">
              <w:rPr>
                <w:i/>
                <w:sz w:val="20"/>
                <w:szCs w:val="20"/>
              </w:rPr>
              <w:t xml:space="preserve">Hiányzik a </w:t>
            </w:r>
            <w:proofErr w:type="spellStart"/>
            <w:r w:rsidRPr="00464027">
              <w:rPr>
                <w:i/>
                <w:sz w:val="20"/>
                <w:szCs w:val="20"/>
              </w:rPr>
              <w:t>SWOT-ban</w:t>
            </w:r>
            <w:proofErr w:type="spellEnd"/>
            <w:r w:rsidRPr="00464027">
              <w:rPr>
                <w:i/>
                <w:sz w:val="20"/>
                <w:szCs w:val="20"/>
              </w:rPr>
              <w:t xml:space="preserve"> szereplő megállapítások alapján </w:t>
            </w:r>
            <w:r w:rsidR="00A94474">
              <w:rPr>
                <w:i/>
                <w:sz w:val="20"/>
                <w:szCs w:val="20"/>
              </w:rPr>
              <w:t>a</w:t>
            </w:r>
            <w:r w:rsidRPr="00464027">
              <w:rPr>
                <w:i/>
                <w:sz w:val="20"/>
                <w:szCs w:val="20"/>
              </w:rPr>
              <w:t xml:space="preserve"> stratégi</w:t>
            </w:r>
            <w:r>
              <w:rPr>
                <w:i/>
                <w:sz w:val="20"/>
                <w:szCs w:val="20"/>
              </w:rPr>
              <w:t>ai irányok</w:t>
            </w:r>
            <w:r w:rsidRPr="00464027">
              <w:rPr>
                <w:i/>
                <w:sz w:val="20"/>
                <w:szCs w:val="20"/>
              </w:rPr>
              <w:t xml:space="preserve"> beazonosítása (lásd az útmutatóban a </w:t>
            </w:r>
            <w:proofErr w:type="spellStart"/>
            <w:r w:rsidRPr="00464027">
              <w:rPr>
                <w:i/>
                <w:sz w:val="20"/>
                <w:szCs w:val="20"/>
              </w:rPr>
              <w:t>SWOT-mátrixot</w:t>
            </w:r>
            <w:proofErr w:type="spellEnd"/>
            <w:r w:rsidRPr="00464027">
              <w:rPr>
                <w:i/>
                <w:sz w:val="20"/>
                <w:szCs w:val="20"/>
              </w:rPr>
              <w:t>).</w:t>
            </w:r>
            <w:r>
              <w:rPr>
                <w:i/>
                <w:sz w:val="20"/>
                <w:szCs w:val="20"/>
              </w:rPr>
              <w:t xml:space="preserve"> Javasolt pótolni.</w:t>
            </w:r>
          </w:p>
        </w:tc>
        <w:tc>
          <w:tcPr>
            <w:tcW w:w="4111" w:type="dxa"/>
          </w:tcPr>
          <w:p w:rsidR="00CC1FF4" w:rsidRPr="004608CC" w:rsidRDefault="00C77F8B" w:rsidP="004608CC">
            <w:pPr>
              <w:spacing w:after="0" w:line="240" w:lineRule="auto"/>
            </w:pPr>
            <w:r>
              <w:t xml:space="preserve">Az útmutató szerint elkészítésre került a SWOT mátrix és 4.4.1. alfejezetként került bele a </w:t>
            </w:r>
            <w:proofErr w:type="spellStart"/>
            <w:r>
              <w:t>HFS-be</w:t>
            </w:r>
            <w:proofErr w:type="spellEnd"/>
            <w:r>
              <w:t>.</w:t>
            </w:r>
          </w:p>
        </w:tc>
        <w:tc>
          <w:tcPr>
            <w:tcW w:w="2126" w:type="dxa"/>
          </w:tcPr>
          <w:p w:rsidR="00D12B9A" w:rsidRDefault="00506730" w:rsidP="004608CC">
            <w:pPr>
              <w:spacing w:after="0" w:line="240" w:lineRule="auto"/>
            </w:pPr>
            <w:r>
              <w:t>26</w:t>
            </w:r>
            <w:r w:rsidR="00D12B9A">
              <w:t>. oldal</w:t>
            </w:r>
          </w:p>
          <w:p w:rsidR="00CC1FF4" w:rsidRPr="004608CC" w:rsidRDefault="00C77F8B" w:rsidP="004608CC">
            <w:pPr>
              <w:spacing w:after="0" w:line="240" w:lineRule="auto"/>
            </w:pPr>
            <w:r>
              <w:t>4.4.1 alfejezet</w:t>
            </w:r>
          </w:p>
        </w:tc>
      </w:tr>
      <w:tr w:rsidR="00A94474" w:rsidRPr="004608CC" w:rsidTr="007F7618">
        <w:trPr>
          <w:trHeight w:val="2930"/>
        </w:trPr>
        <w:tc>
          <w:tcPr>
            <w:tcW w:w="2836" w:type="dxa"/>
            <w:vAlign w:val="center"/>
          </w:tcPr>
          <w:p w:rsidR="00A94474" w:rsidRPr="004608CC" w:rsidRDefault="00A94474" w:rsidP="004608CC">
            <w:pPr>
              <w:spacing w:after="0" w:line="240" w:lineRule="auto"/>
              <w:rPr>
                <w:sz w:val="20"/>
                <w:szCs w:val="20"/>
              </w:rPr>
            </w:pPr>
            <w:r w:rsidRPr="004608CC">
              <w:rPr>
                <w:sz w:val="20"/>
                <w:szCs w:val="20"/>
              </w:rPr>
              <w:t>A fejlesztési szükségletek definiálása az útmutatónak megfelelő logika szerint készült</w:t>
            </w:r>
          </w:p>
          <w:p w:rsidR="00A94474" w:rsidRPr="004608CC" w:rsidRDefault="00A94474" w:rsidP="004608CC">
            <w:pPr>
              <w:spacing w:after="0" w:line="240" w:lineRule="auto"/>
              <w:rPr>
                <w:sz w:val="20"/>
                <w:szCs w:val="20"/>
              </w:rPr>
            </w:pPr>
          </w:p>
          <w:p w:rsidR="00A94474" w:rsidRPr="004608CC" w:rsidRDefault="00A94474" w:rsidP="004608CC">
            <w:pPr>
              <w:spacing w:after="0" w:line="240" w:lineRule="auto"/>
            </w:pPr>
            <w:r w:rsidRPr="004608CC">
              <w:rPr>
                <w:sz w:val="20"/>
                <w:szCs w:val="20"/>
              </w:rPr>
              <w:t>A fejlesztési szükségletek megállapításait a helyzetfeltárás és a SWOT is megalapozza</w:t>
            </w:r>
          </w:p>
        </w:tc>
        <w:tc>
          <w:tcPr>
            <w:tcW w:w="5386" w:type="dxa"/>
          </w:tcPr>
          <w:p w:rsidR="00A94474" w:rsidRPr="004608CC" w:rsidRDefault="00A94474" w:rsidP="00DC0F8E">
            <w:pPr>
              <w:pStyle w:val="Listaszerbekezds"/>
              <w:numPr>
                <w:ilvl w:val="0"/>
                <w:numId w:val="21"/>
              </w:numPr>
              <w:tabs>
                <w:tab w:val="clear" w:pos="535"/>
                <w:tab w:val="num" w:pos="333"/>
              </w:tabs>
              <w:spacing w:after="0" w:line="240" w:lineRule="auto"/>
              <w:ind w:left="329" w:hanging="357"/>
              <w:jc w:val="both"/>
              <w:rPr>
                <w:rFonts w:cs="Arial"/>
                <w:i/>
                <w:sz w:val="20"/>
                <w:szCs w:val="20"/>
              </w:rPr>
            </w:pPr>
            <w:r>
              <w:rPr>
                <w:i/>
                <w:sz w:val="20"/>
                <w:szCs w:val="20"/>
              </w:rPr>
              <w:t>A fejlesztési szükségletek definiálása nem az útmutató szerinti módszertant követi. A SWOT analízisből hiányzik a stratégiai irányok meghatározása, amelyből javasolt módszertan szerint a szükségletek levezetése történik (az egyes stratégiai irányok megvalósulásának szűk keresztmetszetei). Ettől eltekintve a szükségletek illetve azok általános magyarázata jellemezi a térséget, de a tervező nem teremtette meg egyértelműen a kapcsolatot a stratégia elemei között, bár az egymásra épülés tartalmilag fellelhető. Javasoljuk a módszertani útmutató 18-20. oldalán írtak szerint ki</w:t>
            </w:r>
            <w:r w:rsidR="00C77F8B">
              <w:rPr>
                <w:i/>
                <w:sz w:val="20"/>
                <w:szCs w:val="20"/>
              </w:rPr>
              <w:t xml:space="preserve">dolgozni a SWOT analízis (4.4) </w:t>
            </w:r>
            <w:r>
              <w:rPr>
                <w:i/>
                <w:sz w:val="20"/>
                <w:szCs w:val="20"/>
              </w:rPr>
              <w:t>és szükséglet elemzés (4.5) fejezeteket.</w:t>
            </w:r>
          </w:p>
        </w:tc>
        <w:tc>
          <w:tcPr>
            <w:tcW w:w="4111" w:type="dxa"/>
          </w:tcPr>
          <w:p w:rsidR="00A94474" w:rsidRPr="004608CC" w:rsidRDefault="001F069F" w:rsidP="004608CC">
            <w:pPr>
              <w:spacing w:after="0" w:line="240" w:lineRule="auto"/>
            </w:pPr>
            <w:r>
              <w:t>A módosított SWOT analízis és az elkészült SWOT mátrix alapján átdolgozásra került a szükségletek levezetése is.</w:t>
            </w:r>
          </w:p>
        </w:tc>
        <w:tc>
          <w:tcPr>
            <w:tcW w:w="2126" w:type="dxa"/>
          </w:tcPr>
          <w:p w:rsidR="00A94474" w:rsidRDefault="00506730" w:rsidP="004608CC">
            <w:pPr>
              <w:spacing w:after="0" w:line="240" w:lineRule="auto"/>
            </w:pPr>
            <w:r>
              <w:t>27-28</w:t>
            </w:r>
            <w:r w:rsidR="001F069F">
              <w:t>. oldal</w:t>
            </w:r>
          </w:p>
          <w:p w:rsidR="001F069F" w:rsidRPr="004608CC" w:rsidRDefault="001F069F" w:rsidP="004608CC">
            <w:pPr>
              <w:spacing w:after="0" w:line="240" w:lineRule="auto"/>
            </w:pPr>
            <w:r>
              <w:t>4.5. fejezet</w:t>
            </w:r>
          </w:p>
        </w:tc>
      </w:tr>
    </w:tbl>
    <w:p w:rsidR="00CC1FF4" w:rsidRDefault="00CC1FF4" w:rsidP="002450E4">
      <w:pPr>
        <w:pStyle w:val="Default"/>
        <w:rPr>
          <w:rFonts w:ascii="Calibri" w:hAnsi="Calibri" w:cs="Calibri"/>
          <w:b/>
          <w:i/>
          <w:sz w:val="28"/>
          <w:szCs w:val="28"/>
        </w:rPr>
      </w:pPr>
    </w:p>
    <w:p w:rsidR="00CC1FF4" w:rsidRPr="001E388B" w:rsidRDefault="00CC1FF4" w:rsidP="002450E4">
      <w:pPr>
        <w:rPr>
          <w:b/>
          <w:i/>
          <w:sz w:val="24"/>
          <w:szCs w:val="28"/>
        </w:rPr>
      </w:pPr>
      <w:r w:rsidRPr="001E388B">
        <w:rPr>
          <w:b/>
          <w:i/>
          <w:sz w:val="24"/>
          <w:szCs w:val="28"/>
        </w:rPr>
        <w:t>A stratégia és a cselekvési terv minősége</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CC1FF4" w:rsidRPr="004608CC" w:rsidTr="004608CC">
        <w:tc>
          <w:tcPr>
            <w:tcW w:w="14459" w:type="dxa"/>
            <w:gridSpan w:val="4"/>
            <w:tcBorders>
              <w:top w:val="nil"/>
              <w:left w:val="nil"/>
              <w:bottom w:val="nil"/>
              <w:right w:val="nil"/>
            </w:tcBorders>
            <w:shd w:val="clear" w:color="auto" w:fill="538135"/>
            <w:vAlign w:val="center"/>
          </w:tcPr>
          <w:p w:rsidR="00CC1FF4" w:rsidRPr="004608CC" w:rsidRDefault="00CC1FF4" w:rsidP="004608CC">
            <w:pPr>
              <w:spacing w:before="60" w:after="60" w:line="240" w:lineRule="auto"/>
              <w:jc w:val="center"/>
              <w:rPr>
                <w:b/>
                <w:i/>
                <w:color w:val="FFFFFF"/>
              </w:rPr>
            </w:pPr>
            <w:r w:rsidRPr="004608CC">
              <w:rPr>
                <w:b/>
                <w:i/>
                <w:color w:val="FFFFFF"/>
                <w:sz w:val="20"/>
                <w:szCs w:val="20"/>
              </w:rPr>
              <w:t>A stratégia beavatkozási logikája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DC0F8E">
        <w:trPr>
          <w:trHeight w:val="70"/>
        </w:trPr>
        <w:tc>
          <w:tcPr>
            <w:tcW w:w="2836" w:type="dxa"/>
            <w:vMerge w:val="restart"/>
            <w:vAlign w:val="center"/>
          </w:tcPr>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célok meghatározása módszertanilag megfelel az útmutatóban foglaltaknak (a célok száma a megvalósíthatóság határán belül van; a célok tartalma egyértelmű; a célok hierarchiája megfelelő) </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tervezett forrás összhangban van a kitűzött célokkal </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stratégia céljai megfelelően alátámasztottak, indokoltak: a térség szükségleteire és lehetőségeire reflektálnak a gyengeségek és veszélyek figyelembe vételével </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tervezett intézkedések összhangban vannak a kitűzött célokkal, egyértelmű a kapcsolat a célok és az intézkedések között. </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célindikátorok alkalmasak a célok teljesülésének mérésére. A célértékek reálisak és </w:t>
            </w:r>
            <w:r w:rsidRPr="004608CC">
              <w:rPr>
                <w:sz w:val="20"/>
                <w:szCs w:val="20"/>
              </w:rPr>
              <w:lastRenderedPageBreak/>
              <w:t>mérhetők (megfelelnek a SMART elveknek).</w:t>
            </w:r>
          </w:p>
        </w:tc>
        <w:tc>
          <w:tcPr>
            <w:tcW w:w="5386" w:type="dxa"/>
          </w:tcPr>
          <w:p w:rsidR="00CC1FF4" w:rsidRPr="004608CC" w:rsidRDefault="00CC1FF4" w:rsidP="00DC0F8E">
            <w:pPr>
              <w:pStyle w:val="Listaszerbekezds"/>
              <w:numPr>
                <w:ilvl w:val="0"/>
                <w:numId w:val="21"/>
              </w:numPr>
              <w:tabs>
                <w:tab w:val="clear" w:pos="535"/>
                <w:tab w:val="num" w:pos="333"/>
              </w:tabs>
              <w:spacing w:after="0" w:line="240" w:lineRule="auto"/>
              <w:ind w:left="329" w:hanging="357"/>
              <w:jc w:val="both"/>
              <w:rPr>
                <w:rFonts w:cs="Arial"/>
                <w:i/>
                <w:sz w:val="20"/>
                <w:szCs w:val="20"/>
              </w:rPr>
            </w:pPr>
            <w:r w:rsidRPr="003F63D2">
              <w:rPr>
                <w:i/>
                <w:sz w:val="20"/>
                <w:szCs w:val="20"/>
              </w:rPr>
              <w:lastRenderedPageBreak/>
              <w:t xml:space="preserve">A 9. pénzügyi táblázatban összefoglalóan </w:t>
            </w:r>
            <w:r>
              <w:rPr>
                <w:i/>
                <w:sz w:val="20"/>
                <w:szCs w:val="20"/>
              </w:rPr>
              <w:t>szerepelnek</w:t>
            </w:r>
            <w:r w:rsidRPr="003F63D2">
              <w:rPr>
                <w:i/>
                <w:sz w:val="20"/>
                <w:szCs w:val="20"/>
              </w:rPr>
              <w:t xml:space="preserve"> a </w:t>
            </w:r>
            <w:r>
              <w:rPr>
                <w:i/>
                <w:sz w:val="20"/>
                <w:szCs w:val="20"/>
              </w:rPr>
              <w:t>„</w:t>
            </w:r>
            <w:r w:rsidRPr="003F63D2">
              <w:rPr>
                <w:i/>
                <w:sz w:val="20"/>
                <w:szCs w:val="20"/>
              </w:rPr>
              <w:t>Közösségi célú fejlesztések</w:t>
            </w:r>
            <w:r>
              <w:rPr>
                <w:i/>
                <w:sz w:val="20"/>
                <w:szCs w:val="20"/>
              </w:rPr>
              <w:t>”</w:t>
            </w:r>
            <w:r w:rsidRPr="003F63D2">
              <w:rPr>
                <w:i/>
                <w:sz w:val="20"/>
                <w:szCs w:val="20"/>
              </w:rPr>
              <w:t>. Valamennyi tervezett intézkedés</w:t>
            </w:r>
            <w:r w:rsidRPr="00195CE9">
              <w:rPr>
                <w:i/>
                <w:sz w:val="20"/>
                <w:szCs w:val="20"/>
              </w:rPr>
              <w:t xml:space="preserve"> (</w:t>
            </w:r>
            <w:proofErr w:type="spellStart"/>
            <w:r w:rsidRPr="00195CE9">
              <w:rPr>
                <w:i/>
                <w:sz w:val="20"/>
                <w:szCs w:val="20"/>
              </w:rPr>
              <w:t>Mikrovállalkozások</w:t>
            </w:r>
            <w:proofErr w:type="spellEnd"/>
            <w:r w:rsidRPr="00195CE9">
              <w:rPr>
                <w:i/>
                <w:sz w:val="20"/>
                <w:szCs w:val="20"/>
              </w:rPr>
              <w:t xml:space="preserve"> kisléptékű fejlesztések, Közösségi célú fejlesztések, Rendezvények támogatása, Képzések indítása)</w:t>
            </w:r>
            <w:r w:rsidRPr="003F63D2">
              <w:rPr>
                <w:i/>
                <w:sz w:val="20"/>
                <w:szCs w:val="20"/>
              </w:rPr>
              <w:t xml:space="preserve"> vonatkozásában külön</w:t>
            </w:r>
            <w:r>
              <w:rPr>
                <w:i/>
                <w:sz w:val="20"/>
                <w:szCs w:val="20"/>
              </w:rPr>
              <w:t>-külön</w:t>
            </w:r>
            <w:r w:rsidRPr="003F63D2">
              <w:rPr>
                <w:i/>
                <w:sz w:val="20"/>
                <w:szCs w:val="20"/>
              </w:rPr>
              <w:t xml:space="preserve"> kellene </w:t>
            </w:r>
            <w:r>
              <w:rPr>
                <w:i/>
                <w:sz w:val="20"/>
                <w:szCs w:val="20"/>
              </w:rPr>
              <w:t>fel</w:t>
            </w:r>
            <w:r w:rsidRPr="003F63D2">
              <w:rPr>
                <w:i/>
                <w:sz w:val="20"/>
                <w:szCs w:val="20"/>
              </w:rPr>
              <w:t>tüntetni a forráshátteret.</w:t>
            </w:r>
          </w:p>
        </w:tc>
        <w:tc>
          <w:tcPr>
            <w:tcW w:w="4111" w:type="dxa"/>
          </w:tcPr>
          <w:p w:rsidR="00CC1FF4" w:rsidRPr="004608CC" w:rsidRDefault="00E538B8" w:rsidP="004608CC">
            <w:pPr>
              <w:spacing w:after="0" w:line="240" w:lineRule="auto"/>
            </w:pPr>
            <w:r>
              <w:t>A táblázat a javaslatnak megfelelően részletezésre került intézkedésenként.</w:t>
            </w:r>
          </w:p>
        </w:tc>
        <w:tc>
          <w:tcPr>
            <w:tcW w:w="2126" w:type="dxa"/>
          </w:tcPr>
          <w:p w:rsidR="00D12B9A" w:rsidRDefault="00D12B9A" w:rsidP="004608CC">
            <w:pPr>
              <w:spacing w:after="0" w:line="240" w:lineRule="auto"/>
            </w:pPr>
            <w:r>
              <w:t>49. oldal</w:t>
            </w:r>
          </w:p>
          <w:p w:rsidR="00CC1FF4" w:rsidRPr="004608CC" w:rsidRDefault="0039074F" w:rsidP="004608CC">
            <w:pPr>
              <w:spacing w:after="0" w:line="240" w:lineRule="auto"/>
            </w:pPr>
            <w:r>
              <w:t>9. fejezet</w:t>
            </w:r>
          </w:p>
        </w:tc>
      </w:tr>
      <w:tr w:rsidR="00CC1FF4" w:rsidRPr="004608CC" w:rsidTr="004608CC">
        <w:trPr>
          <w:trHeight w:val="534"/>
        </w:trPr>
        <w:tc>
          <w:tcPr>
            <w:tcW w:w="2836" w:type="dxa"/>
            <w:vMerge/>
            <w:vAlign w:val="center"/>
          </w:tcPr>
          <w:p w:rsidR="00CC1FF4" w:rsidRPr="004608CC" w:rsidRDefault="00CC1FF4" w:rsidP="004608CC">
            <w:pPr>
              <w:spacing w:after="0" w:line="240" w:lineRule="auto"/>
              <w:rPr>
                <w:sz w:val="20"/>
                <w:szCs w:val="20"/>
              </w:rPr>
            </w:pPr>
          </w:p>
        </w:tc>
        <w:tc>
          <w:tcPr>
            <w:tcW w:w="5386" w:type="dxa"/>
          </w:tcPr>
          <w:p w:rsidR="00CC1FF4" w:rsidRPr="00BB6A43" w:rsidRDefault="00CC1FF4" w:rsidP="00DC0F8E">
            <w:pPr>
              <w:pStyle w:val="Listaszerbekezds"/>
              <w:numPr>
                <w:ilvl w:val="0"/>
                <w:numId w:val="21"/>
              </w:numPr>
              <w:tabs>
                <w:tab w:val="clear" w:pos="535"/>
                <w:tab w:val="num" w:pos="333"/>
              </w:tabs>
              <w:spacing w:after="0" w:line="240" w:lineRule="auto"/>
              <w:ind w:left="329" w:hanging="357"/>
              <w:jc w:val="both"/>
              <w:rPr>
                <w:i/>
                <w:sz w:val="20"/>
                <w:szCs w:val="20"/>
              </w:rPr>
            </w:pPr>
            <w:r w:rsidRPr="00BB6A43">
              <w:rPr>
                <w:i/>
                <w:sz w:val="20"/>
                <w:szCs w:val="20"/>
              </w:rPr>
              <w:t>A Specifikus célok indoklásánál hivatkozni kellene a helyzetfeltárás vonatkozó, jelenleg kipontozott fejezeteire.</w:t>
            </w:r>
          </w:p>
        </w:tc>
        <w:tc>
          <w:tcPr>
            <w:tcW w:w="4111" w:type="dxa"/>
          </w:tcPr>
          <w:p w:rsidR="00CC1FF4" w:rsidRPr="004608CC" w:rsidRDefault="00D12B9A" w:rsidP="004608CC">
            <w:pPr>
              <w:spacing w:after="0" w:line="240" w:lineRule="auto"/>
            </w:pPr>
            <w:r>
              <w:t>A hivatkozás megtörtént.</w:t>
            </w:r>
          </w:p>
        </w:tc>
        <w:tc>
          <w:tcPr>
            <w:tcW w:w="2126" w:type="dxa"/>
          </w:tcPr>
          <w:p w:rsidR="00D12B9A" w:rsidRDefault="00506730" w:rsidP="004608CC">
            <w:pPr>
              <w:spacing w:after="0" w:line="240" w:lineRule="auto"/>
            </w:pPr>
            <w:r>
              <w:t>31-32</w:t>
            </w:r>
            <w:r w:rsidR="00D12B9A">
              <w:t>. oldal</w:t>
            </w:r>
          </w:p>
          <w:p w:rsidR="00CC1FF4" w:rsidRPr="004608CC" w:rsidRDefault="00D12B9A" w:rsidP="004608CC">
            <w:pPr>
              <w:spacing w:after="0" w:line="240" w:lineRule="auto"/>
            </w:pPr>
            <w:r>
              <w:t>7.2. fejezet</w:t>
            </w:r>
          </w:p>
        </w:tc>
      </w:tr>
      <w:tr w:rsidR="00CC1FF4" w:rsidRPr="004608CC" w:rsidTr="004608CC">
        <w:trPr>
          <w:trHeight w:val="855"/>
        </w:trPr>
        <w:tc>
          <w:tcPr>
            <w:tcW w:w="2836" w:type="dxa"/>
            <w:vMerge/>
            <w:vAlign w:val="center"/>
          </w:tcPr>
          <w:p w:rsidR="00CC1FF4" w:rsidRPr="004608CC" w:rsidRDefault="00CC1FF4" w:rsidP="004608CC">
            <w:pPr>
              <w:spacing w:after="0" w:line="240" w:lineRule="auto"/>
              <w:rPr>
                <w:sz w:val="20"/>
                <w:szCs w:val="20"/>
              </w:rPr>
            </w:pPr>
          </w:p>
        </w:tc>
        <w:tc>
          <w:tcPr>
            <w:tcW w:w="5386" w:type="dxa"/>
          </w:tcPr>
          <w:p w:rsidR="00CC1FF4" w:rsidRPr="00DC0F8E" w:rsidRDefault="00CC1FF4" w:rsidP="00DC0F8E">
            <w:pPr>
              <w:pStyle w:val="Listaszerbekezds"/>
              <w:numPr>
                <w:ilvl w:val="0"/>
                <w:numId w:val="21"/>
              </w:numPr>
              <w:tabs>
                <w:tab w:val="clear" w:pos="535"/>
                <w:tab w:val="num" w:pos="333"/>
              </w:tabs>
              <w:spacing w:after="0" w:line="240" w:lineRule="auto"/>
              <w:ind w:left="329" w:hanging="357"/>
              <w:jc w:val="both"/>
              <w:rPr>
                <w:i/>
                <w:sz w:val="20"/>
                <w:szCs w:val="20"/>
              </w:rPr>
            </w:pPr>
            <w:r w:rsidRPr="00BB6A43">
              <w:rPr>
                <w:i/>
                <w:sz w:val="20"/>
                <w:szCs w:val="20"/>
              </w:rPr>
              <w:t xml:space="preserve">Az intézkedések és a specifikus célok kapcsolatát bemutató </w:t>
            </w:r>
            <w:proofErr w:type="gramStart"/>
            <w:r w:rsidRPr="00BB6A43">
              <w:rPr>
                <w:i/>
                <w:sz w:val="20"/>
                <w:szCs w:val="20"/>
              </w:rPr>
              <w:t>táblázatban</w:t>
            </w:r>
            <w:proofErr w:type="gramEnd"/>
            <w:r w:rsidRPr="00BB6A43">
              <w:rPr>
                <w:i/>
                <w:sz w:val="20"/>
                <w:szCs w:val="20"/>
              </w:rPr>
              <w:t xml:space="preserve"> néhány esetben a megjelöltnél több érintkezési pont lehet. Például a 2. intézkedés (LEADER - Közösségi célú fejlesztések) az „Érzékeny társadalmi csoportok esélyegyenlőségének javítása” specifikus célkitűzés eléréséhez minden bizonnyal hozzá fog járulni. </w:t>
            </w:r>
          </w:p>
        </w:tc>
        <w:tc>
          <w:tcPr>
            <w:tcW w:w="4111" w:type="dxa"/>
          </w:tcPr>
          <w:p w:rsidR="00CC1FF4" w:rsidRPr="004608CC" w:rsidRDefault="00E538B8" w:rsidP="004608CC">
            <w:pPr>
              <w:spacing w:after="0" w:line="240" w:lineRule="auto"/>
            </w:pPr>
            <w:r>
              <w:t>A táblázat átdolgozásra került a javasolt összefüggés jelölésével.</w:t>
            </w:r>
          </w:p>
        </w:tc>
        <w:tc>
          <w:tcPr>
            <w:tcW w:w="2126" w:type="dxa"/>
          </w:tcPr>
          <w:p w:rsidR="00D12B9A" w:rsidRDefault="00506730" w:rsidP="004608CC">
            <w:pPr>
              <w:spacing w:after="0" w:line="240" w:lineRule="auto"/>
            </w:pPr>
            <w:r>
              <w:t>32</w:t>
            </w:r>
            <w:r w:rsidR="00D12B9A">
              <w:t>. oldal</w:t>
            </w:r>
          </w:p>
          <w:p w:rsidR="00CC1FF4" w:rsidRPr="004608CC" w:rsidRDefault="00E538B8" w:rsidP="004608CC">
            <w:pPr>
              <w:spacing w:after="0" w:line="240" w:lineRule="auto"/>
            </w:pPr>
            <w:r>
              <w:t>7.2. fejezet</w:t>
            </w:r>
          </w:p>
        </w:tc>
      </w:tr>
      <w:tr w:rsidR="00CC1FF4" w:rsidRPr="004608CC" w:rsidTr="00DC0F8E">
        <w:trPr>
          <w:trHeight w:val="1207"/>
        </w:trPr>
        <w:tc>
          <w:tcPr>
            <w:tcW w:w="2836" w:type="dxa"/>
            <w:vMerge/>
            <w:vAlign w:val="center"/>
          </w:tcPr>
          <w:p w:rsidR="00CC1FF4" w:rsidRPr="004608CC" w:rsidRDefault="00CC1FF4" w:rsidP="004608CC">
            <w:pPr>
              <w:spacing w:after="0" w:line="240" w:lineRule="auto"/>
              <w:rPr>
                <w:sz w:val="20"/>
                <w:szCs w:val="20"/>
              </w:rPr>
            </w:pPr>
          </w:p>
        </w:tc>
        <w:tc>
          <w:tcPr>
            <w:tcW w:w="5386" w:type="dxa"/>
          </w:tcPr>
          <w:p w:rsidR="00CC1FF4" w:rsidRPr="00DC0F8E" w:rsidRDefault="00CC1FF4" w:rsidP="00DC0F8E">
            <w:pPr>
              <w:pStyle w:val="Listaszerbekezds"/>
              <w:numPr>
                <w:ilvl w:val="0"/>
                <w:numId w:val="21"/>
              </w:numPr>
              <w:tabs>
                <w:tab w:val="clear" w:pos="535"/>
                <w:tab w:val="num" w:pos="333"/>
              </w:tabs>
              <w:spacing w:after="0" w:line="240" w:lineRule="auto"/>
              <w:ind w:left="329" w:hanging="357"/>
              <w:jc w:val="both"/>
              <w:rPr>
                <w:i/>
                <w:sz w:val="20"/>
                <w:szCs w:val="20"/>
              </w:rPr>
            </w:pPr>
            <w:r w:rsidRPr="00BB6A43">
              <w:rPr>
                <w:i/>
                <w:sz w:val="20"/>
                <w:szCs w:val="20"/>
              </w:rPr>
              <w:t>Javasolt a specifikus célok indoklásának áttekintése. A fejezet szerint pl. a 2. számú "foglalkoztatási helyzet javítása" specifikus cél elérését a VP 7.2.1 és 7.4.1 intézkedéseken keresztül is kívánják elérni, ez valószínűleg elírás, javasoljuk felülvizsgálatát vagy indoklását.</w:t>
            </w:r>
          </w:p>
        </w:tc>
        <w:tc>
          <w:tcPr>
            <w:tcW w:w="4111" w:type="dxa"/>
          </w:tcPr>
          <w:p w:rsidR="00CC1FF4" w:rsidRPr="004608CC" w:rsidRDefault="00E538B8" w:rsidP="004608CC">
            <w:pPr>
              <w:spacing w:after="0" w:line="240" w:lineRule="auto"/>
            </w:pPr>
            <w:r>
              <w:t>Valóban elírás történt, 6.2.1 és 6.4.1. a helyes intézkedések kódszáma, javításra került.</w:t>
            </w:r>
          </w:p>
        </w:tc>
        <w:tc>
          <w:tcPr>
            <w:tcW w:w="2126" w:type="dxa"/>
          </w:tcPr>
          <w:p w:rsidR="00D12B9A" w:rsidRDefault="00506730" w:rsidP="004608CC">
            <w:pPr>
              <w:spacing w:after="0" w:line="240" w:lineRule="auto"/>
            </w:pPr>
            <w:r>
              <w:t>31</w:t>
            </w:r>
            <w:r w:rsidR="00D12B9A">
              <w:t>. oldal</w:t>
            </w:r>
          </w:p>
          <w:p w:rsidR="00CC1FF4" w:rsidRPr="004608CC" w:rsidRDefault="00E538B8" w:rsidP="004608CC">
            <w:pPr>
              <w:spacing w:after="0" w:line="240" w:lineRule="auto"/>
            </w:pPr>
            <w:r>
              <w:t>7.2 fejezet</w:t>
            </w:r>
          </w:p>
        </w:tc>
      </w:tr>
      <w:tr w:rsidR="00E538B8" w:rsidRPr="004608CC" w:rsidTr="00980F91">
        <w:trPr>
          <w:trHeight w:val="2230"/>
        </w:trPr>
        <w:tc>
          <w:tcPr>
            <w:tcW w:w="2836" w:type="dxa"/>
            <w:vMerge/>
            <w:vAlign w:val="center"/>
          </w:tcPr>
          <w:p w:rsidR="00E538B8" w:rsidRPr="004608CC" w:rsidRDefault="00E538B8" w:rsidP="00E538B8">
            <w:pPr>
              <w:spacing w:after="0" w:line="240" w:lineRule="auto"/>
              <w:rPr>
                <w:sz w:val="20"/>
                <w:szCs w:val="20"/>
              </w:rPr>
            </w:pPr>
          </w:p>
        </w:tc>
        <w:tc>
          <w:tcPr>
            <w:tcW w:w="5386" w:type="dxa"/>
          </w:tcPr>
          <w:p w:rsidR="00E538B8" w:rsidRPr="00DC0F8E"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BB6A43">
              <w:rPr>
                <w:i/>
                <w:sz w:val="20"/>
                <w:szCs w:val="20"/>
              </w:rPr>
              <w:t>A 3. specifikus cél indoklásánál használt "</w:t>
            </w:r>
            <w:r w:rsidRPr="00DC0F8E">
              <w:rPr>
                <w:i/>
                <w:sz w:val="20"/>
                <w:szCs w:val="20"/>
              </w:rPr>
              <w:t xml:space="preserve">infrastruktúra ellátottság" fogalma elsődlegesen a települések épített infrastruktúrájának jellemzésére, felmérésére szolgál, javasoljuk a </w:t>
            </w:r>
            <w:r>
              <w:rPr>
                <w:i/>
                <w:sz w:val="20"/>
                <w:szCs w:val="20"/>
              </w:rPr>
              <w:t>megfogalmazás felülvizsgálatát.</w:t>
            </w:r>
          </w:p>
        </w:tc>
        <w:tc>
          <w:tcPr>
            <w:tcW w:w="4111" w:type="dxa"/>
          </w:tcPr>
          <w:p w:rsidR="00E538B8" w:rsidRPr="004608CC" w:rsidRDefault="00AA19F6" w:rsidP="00E538B8">
            <w:pPr>
              <w:spacing w:after="0" w:line="240" w:lineRule="auto"/>
            </w:pPr>
            <w:r>
              <w:t>Egyértelműsítésre került a megfogalmazás.</w:t>
            </w:r>
          </w:p>
        </w:tc>
        <w:tc>
          <w:tcPr>
            <w:tcW w:w="2126" w:type="dxa"/>
          </w:tcPr>
          <w:p w:rsidR="00D12B9A" w:rsidRDefault="00506730" w:rsidP="00E538B8">
            <w:pPr>
              <w:spacing w:after="0" w:line="240" w:lineRule="auto"/>
            </w:pPr>
            <w:r>
              <w:t>31</w:t>
            </w:r>
            <w:r w:rsidR="00D12B9A">
              <w:t>. oldal</w:t>
            </w:r>
          </w:p>
          <w:p w:rsidR="00E538B8" w:rsidRPr="004608CC" w:rsidRDefault="00E538B8" w:rsidP="00E538B8">
            <w:pPr>
              <w:spacing w:after="0" w:line="240" w:lineRule="auto"/>
            </w:pPr>
            <w:r>
              <w:t>7.2 fejezet</w:t>
            </w:r>
          </w:p>
        </w:tc>
      </w:tr>
      <w:tr w:rsidR="00E538B8" w:rsidRPr="004608CC" w:rsidTr="004608CC">
        <w:tc>
          <w:tcPr>
            <w:tcW w:w="14459" w:type="dxa"/>
            <w:gridSpan w:val="4"/>
            <w:tcBorders>
              <w:top w:val="nil"/>
              <w:left w:val="nil"/>
              <w:bottom w:val="nil"/>
              <w:right w:val="nil"/>
            </w:tcBorders>
            <w:shd w:val="clear" w:color="auto" w:fill="538135"/>
            <w:vAlign w:val="center"/>
          </w:tcPr>
          <w:p w:rsidR="00E538B8" w:rsidRPr="004608CC" w:rsidRDefault="00E538B8" w:rsidP="00E538B8">
            <w:pPr>
              <w:spacing w:before="60" w:after="60" w:line="240" w:lineRule="auto"/>
              <w:jc w:val="center"/>
              <w:rPr>
                <w:b/>
                <w:i/>
                <w:color w:val="FFFFFF"/>
              </w:rPr>
            </w:pPr>
            <w:r w:rsidRPr="004608CC">
              <w:rPr>
                <w:b/>
                <w:i/>
                <w:color w:val="FFFFFF"/>
                <w:sz w:val="20"/>
                <w:szCs w:val="20"/>
              </w:rPr>
              <w:t>A stratégia intézkedéseinek kidolgozottsága, realitása, megvalósíthatósága</w:t>
            </w:r>
          </w:p>
        </w:tc>
      </w:tr>
      <w:tr w:rsidR="00E538B8" w:rsidRPr="004608CC" w:rsidTr="004608CC">
        <w:tc>
          <w:tcPr>
            <w:tcW w:w="2836"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 xml:space="preserve">Módosítások helye </w:t>
            </w:r>
          </w:p>
        </w:tc>
      </w:tr>
      <w:tr w:rsidR="00E538B8" w:rsidRPr="004608CC" w:rsidTr="004608CC">
        <w:tc>
          <w:tcPr>
            <w:tcW w:w="2836" w:type="dxa"/>
            <w:vMerge w:val="restart"/>
            <w:vAlign w:val="center"/>
          </w:tcPr>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 xml:space="preserve">Az intézkedések reálisak, megalapozottak és megvalósíthatók </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Az intézkedések indoklása épít a helyzetfeltárás, a SWOT és a szükségetek megállapításaira, a kapcsolat egyértelmű.</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 xml:space="preserve">A támogatható tevékenység területek és a jogosultak köre egyértelműen definiált (megvalósítható, a felhívásokba átemelhető) és a célok megvalósulását szolgálja. </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 kiválasztási kritériumok módszertanilag megfelelőek és a célok megvalósulását szolgálják</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lastRenderedPageBreak/>
              <w:t xml:space="preserve">A támogatási arányok indokoltak és megfelelnek a VP-ben és az útmutatóban megfogalmazott szempontnak </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 kimeneti indikátorok tartalmazzák a kötelezően alkalmazandó indikátorokat, a célértékek arányban állnak az intézkedésre allokált forráskerettel</w:t>
            </w:r>
          </w:p>
          <w:p w:rsidR="00E538B8" w:rsidRPr="004608CC" w:rsidRDefault="00E538B8" w:rsidP="00E538B8">
            <w:pPr>
              <w:spacing w:after="0" w:line="240" w:lineRule="auto"/>
              <w:rPr>
                <w:i/>
                <w:sz w:val="20"/>
                <w:szCs w:val="20"/>
              </w:rPr>
            </w:pPr>
          </w:p>
          <w:p w:rsidR="00E538B8" w:rsidRPr="004608CC" w:rsidRDefault="00E538B8" w:rsidP="00E538B8">
            <w:pPr>
              <w:spacing w:after="0" w:line="240" w:lineRule="auto"/>
              <w:rPr>
                <w:sz w:val="20"/>
                <w:szCs w:val="20"/>
              </w:rPr>
            </w:pPr>
            <w:r w:rsidRPr="004608CC">
              <w:rPr>
                <w:sz w:val="20"/>
                <w:szCs w:val="20"/>
              </w:rPr>
              <w:t xml:space="preserve">Az nemzetközi és térségek közötti együttműködések tervezett tématerületei jól definiáltak, megalapozottak és konkrét közös eredmények elérését teszik lehetővé </w:t>
            </w:r>
          </w:p>
          <w:p w:rsidR="00E538B8" w:rsidRPr="004608CC" w:rsidRDefault="00E538B8" w:rsidP="00E538B8">
            <w:pPr>
              <w:rPr>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lastRenderedPageBreak/>
              <w:t>Egyes intézkedések esetében a tervezett indikátorok túlbecsültnek tűnnek. Például a „</w:t>
            </w:r>
            <w:proofErr w:type="spellStart"/>
            <w:r w:rsidRPr="005F59EC">
              <w:rPr>
                <w:i/>
                <w:sz w:val="20"/>
                <w:szCs w:val="20"/>
              </w:rPr>
              <w:t>Mikrovállalkozások</w:t>
            </w:r>
            <w:proofErr w:type="spellEnd"/>
            <w:r w:rsidRPr="005F59EC">
              <w:rPr>
                <w:i/>
                <w:sz w:val="20"/>
                <w:szCs w:val="20"/>
              </w:rPr>
              <w:t xml:space="preserve"> kisléptékű fejlesztése” intézkedés esetében a 140 megtartott munkahely teljesítése kétséges (70 db projektet kívánnak támogatni, ami projektenként két munkahely megtartását jelentené).</w:t>
            </w:r>
          </w:p>
        </w:tc>
        <w:tc>
          <w:tcPr>
            <w:tcW w:w="4111" w:type="dxa"/>
          </w:tcPr>
          <w:p w:rsidR="00E538B8" w:rsidRPr="004608CC" w:rsidRDefault="00AA19F6" w:rsidP="00E538B8">
            <w:pPr>
              <w:spacing w:after="0" w:line="240" w:lineRule="auto"/>
            </w:pPr>
            <w:r>
              <w:t>Csökkentettük az indikátor célértékét 100 főre.</w:t>
            </w:r>
          </w:p>
        </w:tc>
        <w:tc>
          <w:tcPr>
            <w:tcW w:w="2126" w:type="dxa"/>
          </w:tcPr>
          <w:p w:rsidR="00D12B9A" w:rsidRDefault="00506730" w:rsidP="00E538B8">
            <w:pPr>
              <w:spacing w:after="0" w:line="240" w:lineRule="auto"/>
            </w:pPr>
            <w:r>
              <w:t>34</w:t>
            </w:r>
            <w:r w:rsidR="00D12B9A">
              <w:t>. oldal</w:t>
            </w:r>
          </w:p>
          <w:p w:rsidR="00E538B8" w:rsidRPr="004608CC" w:rsidRDefault="00AA19F6" w:rsidP="00E538B8">
            <w:pPr>
              <w:spacing w:after="0" w:line="240" w:lineRule="auto"/>
            </w:pPr>
            <w:r>
              <w:t>8.1. fejezet</w:t>
            </w:r>
          </w:p>
        </w:tc>
      </w:tr>
      <w:tr w:rsidR="00E538B8" w:rsidRPr="004608CC" w:rsidTr="00DD1410">
        <w:trPr>
          <w:trHeight w:val="975"/>
        </w:trPr>
        <w:tc>
          <w:tcPr>
            <w:tcW w:w="2836" w:type="dxa"/>
            <w:vMerge/>
            <w:vAlign w:val="center"/>
          </w:tcPr>
          <w:p w:rsidR="00E538B8" w:rsidRPr="004608CC" w:rsidRDefault="00E538B8" w:rsidP="00E538B8">
            <w:pPr>
              <w:spacing w:after="0" w:line="240" w:lineRule="auto"/>
              <w:rPr>
                <w:i/>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Az 1. sz. intézkedés kiválasztási kritériumaiból több (1,3,6) jogosultsági kritérium, javasoljuk aszerint megnevezni. A 3. kritérium esetén kérdés</w:t>
            </w:r>
            <w:r>
              <w:rPr>
                <w:i/>
                <w:sz w:val="20"/>
                <w:szCs w:val="20"/>
              </w:rPr>
              <w:t>e</w:t>
            </w:r>
            <w:r w:rsidRPr="005F59EC">
              <w:rPr>
                <w:i/>
                <w:sz w:val="20"/>
                <w:szCs w:val="20"/>
              </w:rPr>
              <w:t>s az objektív meghatározás lehetősége, javasolt a felülvizsgálata, pontosítása</w:t>
            </w:r>
            <w:r>
              <w:rPr>
                <w:i/>
                <w:sz w:val="20"/>
                <w:szCs w:val="20"/>
              </w:rPr>
              <w:t>, legalábbis a pályázati felhívás szintjén</w:t>
            </w:r>
            <w:r w:rsidRPr="005F59EC">
              <w:rPr>
                <w:i/>
                <w:sz w:val="20"/>
                <w:szCs w:val="20"/>
              </w:rPr>
              <w:t>.</w:t>
            </w:r>
          </w:p>
        </w:tc>
        <w:tc>
          <w:tcPr>
            <w:tcW w:w="4111" w:type="dxa"/>
          </w:tcPr>
          <w:p w:rsidR="00E538B8" w:rsidRPr="004608CC" w:rsidRDefault="00725CC0" w:rsidP="00E538B8">
            <w:pPr>
              <w:spacing w:after="0" w:line="240" w:lineRule="auto"/>
            </w:pPr>
            <w:r>
              <w:t xml:space="preserve">Valóban jogosultsági kritériumként kívánjuk alkalmazni a </w:t>
            </w:r>
            <w:proofErr w:type="spellStart"/>
            <w:r>
              <w:t>foglalkoztatotti</w:t>
            </w:r>
            <w:proofErr w:type="spellEnd"/>
            <w:r>
              <w:t xml:space="preserve"> létszám megtartását, a költséghatékonyságot, és hogy nem lehetnek a támogatott projektek a környezetre és a helyi társadalomra káros hatással, így egyértelműen átfogalmazásra került. Véleményünk szerint ez objektíven mérlegelhető, de pontosítani fogjuk a pályázati felhívás szintjén.</w:t>
            </w:r>
          </w:p>
        </w:tc>
        <w:tc>
          <w:tcPr>
            <w:tcW w:w="2126" w:type="dxa"/>
          </w:tcPr>
          <w:p w:rsidR="00D12B9A" w:rsidRDefault="00506730" w:rsidP="00725CC0">
            <w:pPr>
              <w:spacing w:after="0" w:line="240" w:lineRule="auto"/>
            </w:pPr>
            <w:r>
              <w:t>33-34.</w:t>
            </w:r>
            <w:r w:rsidR="00D12B9A">
              <w:t xml:space="preserve"> oldal</w:t>
            </w:r>
          </w:p>
          <w:p w:rsidR="00725CC0" w:rsidRDefault="00725CC0" w:rsidP="00725CC0">
            <w:pPr>
              <w:spacing w:after="0" w:line="240" w:lineRule="auto"/>
            </w:pPr>
            <w:r>
              <w:t>8.1. fejezet</w:t>
            </w:r>
          </w:p>
          <w:p w:rsidR="00E538B8" w:rsidRPr="004608CC" w:rsidRDefault="00725CC0" w:rsidP="00725CC0">
            <w:pPr>
              <w:spacing w:after="0" w:line="240" w:lineRule="auto"/>
            </w:pPr>
            <w:r>
              <w:t>1. intézkedés</w:t>
            </w:r>
          </w:p>
        </w:tc>
      </w:tr>
      <w:tr w:rsidR="00E538B8" w:rsidRPr="004608CC" w:rsidTr="004608CC">
        <w:trPr>
          <w:trHeight w:val="975"/>
        </w:trPr>
        <w:tc>
          <w:tcPr>
            <w:tcW w:w="2836" w:type="dxa"/>
            <w:vMerge/>
            <w:vAlign w:val="center"/>
          </w:tcPr>
          <w:p w:rsidR="00E538B8" w:rsidRPr="004608CC" w:rsidRDefault="00E538B8" w:rsidP="00E538B8">
            <w:pPr>
              <w:spacing w:after="0" w:line="240" w:lineRule="auto"/>
              <w:rPr>
                <w:i/>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0F34F1">
              <w:rPr>
                <w:i/>
                <w:sz w:val="20"/>
                <w:szCs w:val="20"/>
              </w:rPr>
              <w:t xml:space="preserve">Az 1. sz. intézkedés 4. kritériuma (illetve a többi intézkedés egyező tartalmú kritériuma) olyan, jövőbeni vállalást tesz kiválasztási kritériummá, amely könnyen alapot nélkülöző vállalás lehet illetve akár a pályázó személyén kívüli okból meghiúsulhat, ráadásul sértheti a szintén kiválasztási kritériumként szereplő költséghatékonyság elvét (lehet, hogy miatta később drágább árajánlatot kellene </w:t>
            </w:r>
            <w:r w:rsidRPr="000F34F1">
              <w:rPr>
                <w:i/>
                <w:sz w:val="20"/>
                <w:szCs w:val="20"/>
              </w:rPr>
              <w:lastRenderedPageBreak/>
              <w:t>kiválasztani) Javasolt a kritérium újra gondolása, pontosítása.</w:t>
            </w:r>
          </w:p>
        </w:tc>
        <w:tc>
          <w:tcPr>
            <w:tcW w:w="4111" w:type="dxa"/>
          </w:tcPr>
          <w:p w:rsidR="00E538B8" w:rsidRPr="005F59EC" w:rsidRDefault="00725CC0" w:rsidP="00E538B8">
            <w:pPr>
              <w:spacing w:after="0" w:line="240" w:lineRule="auto"/>
              <w:rPr>
                <w:i/>
                <w:sz w:val="20"/>
                <w:szCs w:val="20"/>
              </w:rPr>
            </w:pPr>
            <w:r w:rsidRPr="00CD388D">
              <w:lastRenderedPageBreak/>
              <w:t>Számunkra is elgondolkodtató volt, hogy hogyan tudnánk ezt jól megfogalmazni</w:t>
            </w:r>
            <w:r>
              <w:t xml:space="preserve">. Újra átgondoltuk, </w:t>
            </w:r>
            <w:proofErr w:type="gramStart"/>
            <w:r>
              <w:t>szeretnénk</w:t>
            </w:r>
            <w:proofErr w:type="gramEnd"/>
            <w:r>
              <w:t xml:space="preserve"> ha maradna a kritérium mert fontos nekünk, hogy ráirányítsuk az emberek figyelmét a témára, ugyan akkor nem akarjuk </w:t>
            </w:r>
            <w:r>
              <w:lastRenderedPageBreak/>
              <w:t>bekorlátozni a vállalások mikéntjét, mert így mindenki a számára egyszerű és hatékony megoldásokat választhatja, akár kreatívabban, mint ha mi csinálnánk egy vállalás listát amiből választani lehetne. Mi is sajnálnánk, ha ez ledegradálódna például a „mostantól újrahasznosított papírt használok” szintre, de csak így tudunk teret engedni az újszerű jó elképzeléseknek is. A költséghatékonyságot nem sérti, ha valami azért kerül többe, mert környezetkímélőbb, sőt.</w:t>
            </w:r>
          </w:p>
        </w:tc>
        <w:tc>
          <w:tcPr>
            <w:tcW w:w="2126" w:type="dxa"/>
          </w:tcPr>
          <w:p w:rsidR="00D12B9A" w:rsidRDefault="00506730" w:rsidP="00725CC0">
            <w:pPr>
              <w:spacing w:after="0" w:line="240" w:lineRule="auto"/>
            </w:pPr>
            <w:r>
              <w:lastRenderedPageBreak/>
              <w:t>33-34.</w:t>
            </w:r>
            <w:r w:rsidR="00D12B9A">
              <w:t xml:space="preserve"> oldal</w:t>
            </w:r>
          </w:p>
          <w:p w:rsidR="00725CC0" w:rsidRDefault="00725CC0" w:rsidP="00725CC0">
            <w:pPr>
              <w:spacing w:after="0" w:line="240" w:lineRule="auto"/>
            </w:pPr>
            <w:r>
              <w:t>8.1. fejezet</w:t>
            </w:r>
          </w:p>
          <w:p w:rsidR="00E538B8" w:rsidRPr="004608CC" w:rsidRDefault="00725CC0" w:rsidP="00725CC0">
            <w:pPr>
              <w:spacing w:after="0" w:line="240" w:lineRule="auto"/>
            </w:pPr>
            <w:r>
              <w:t>1. intézkedés</w:t>
            </w:r>
          </w:p>
        </w:tc>
      </w:tr>
      <w:tr w:rsidR="00E538B8" w:rsidRPr="004608CC" w:rsidTr="004608CC">
        <w:tc>
          <w:tcPr>
            <w:tcW w:w="2836" w:type="dxa"/>
            <w:vMerge/>
            <w:vAlign w:val="center"/>
          </w:tcPr>
          <w:p w:rsidR="00E538B8" w:rsidRPr="004608CC" w:rsidRDefault="00E538B8" w:rsidP="00E538B8">
            <w:pPr>
              <w:spacing w:after="0" w:line="240" w:lineRule="auto"/>
              <w:rPr>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Az 2. sz. intézkedés kiválasztási kritériumaiból több (1,4) jogosultsági kritérium, javasoljuk aszerint megnevezni. A két említett kritérium esetén kérdés</w:t>
            </w:r>
            <w:r>
              <w:rPr>
                <w:i/>
                <w:sz w:val="20"/>
                <w:szCs w:val="20"/>
              </w:rPr>
              <w:t>es</w:t>
            </w:r>
            <w:r w:rsidRPr="005F59EC">
              <w:rPr>
                <w:i/>
                <w:sz w:val="20"/>
                <w:szCs w:val="20"/>
              </w:rPr>
              <w:t xml:space="preserve"> az objektív meghatározás lehetősége, javasolt a felülvizsgálatuk, pontosításuk</w:t>
            </w:r>
            <w:r>
              <w:rPr>
                <w:i/>
                <w:sz w:val="20"/>
                <w:szCs w:val="20"/>
              </w:rPr>
              <w:t>, legalábbis a pályázati felhívás szintjén</w:t>
            </w:r>
            <w:r w:rsidRPr="005F59EC">
              <w:rPr>
                <w:i/>
                <w:sz w:val="20"/>
                <w:szCs w:val="20"/>
              </w:rPr>
              <w:t>.</w:t>
            </w:r>
          </w:p>
        </w:tc>
        <w:tc>
          <w:tcPr>
            <w:tcW w:w="4111" w:type="dxa"/>
          </w:tcPr>
          <w:p w:rsidR="00E538B8" w:rsidRPr="004608CC" w:rsidRDefault="00725CC0" w:rsidP="00E538B8">
            <w:pPr>
              <w:spacing w:after="0" w:line="240" w:lineRule="auto"/>
            </w:pPr>
            <w:r>
              <w:t>Valóban jogosultsági kritériumként kívánjuk alkalmazni a költséghatékonyságot, és hogy nem lehetnek a támogatott projektek a környezetre és a helyi társadalomra káros hatással, így egyértelműen átfogalmazásra került. Véleményünk szerint ez objektíven mérlegelhető, de pontosítani fogjuk a pályázati felhívás szintjén.</w:t>
            </w:r>
          </w:p>
        </w:tc>
        <w:tc>
          <w:tcPr>
            <w:tcW w:w="2126" w:type="dxa"/>
          </w:tcPr>
          <w:p w:rsidR="00D12B9A" w:rsidRDefault="00506730" w:rsidP="00E538B8">
            <w:pPr>
              <w:spacing w:after="0" w:line="240" w:lineRule="auto"/>
            </w:pPr>
            <w:r>
              <w:t>34-35</w:t>
            </w:r>
            <w:r w:rsidR="00D12B9A">
              <w:t>. oldal</w:t>
            </w:r>
          </w:p>
          <w:p w:rsidR="00D12B9A" w:rsidRDefault="00D12B9A" w:rsidP="00E538B8">
            <w:pPr>
              <w:spacing w:after="0" w:line="240" w:lineRule="auto"/>
            </w:pPr>
            <w:r>
              <w:t>8.1. fejezet</w:t>
            </w:r>
          </w:p>
          <w:p w:rsidR="00E538B8" w:rsidRPr="004608CC" w:rsidRDefault="00725CC0" w:rsidP="00E538B8">
            <w:pPr>
              <w:spacing w:after="0" w:line="240" w:lineRule="auto"/>
            </w:pPr>
            <w:r>
              <w:t>2. intézkedés</w:t>
            </w:r>
          </w:p>
        </w:tc>
      </w:tr>
      <w:tr w:rsidR="00E538B8" w:rsidRPr="004608CC" w:rsidTr="004608CC">
        <w:tc>
          <w:tcPr>
            <w:tcW w:w="2836" w:type="dxa"/>
            <w:vMerge/>
            <w:vAlign w:val="center"/>
          </w:tcPr>
          <w:p w:rsidR="00E538B8" w:rsidRPr="004608CC" w:rsidRDefault="00E538B8" w:rsidP="00E538B8">
            <w:pPr>
              <w:spacing w:after="0" w:line="240" w:lineRule="auto"/>
              <w:rPr>
                <w:color w:val="FF0000"/>
                <w:sz w:val="20"/>
                <w:szCs w:val="20"/>
                <w:highlight w:val="yellow"/>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A 3. sz. intézkedés kiválasztási kritériumaiból több (1,7) jogosultsági kritérium, javasoljuk aszerint megnevezni. A két említett kritérium esetén kérdés</w:t>
            </w:r>
            <w:r>
              <w:rPr>
                <w:i/>
                <w:sz w:val="20"/>
                <w:szCs w:val="20"/>
              </w:rPr>
              <w:t>e</w:t>
            </w:r>
            <w:r w:rsidRPr="005F59EC">
              <w:rPr>
                <w:i/>
                <w:sz w:val="20"/>
                <w:szCs w:val="20"/>
              </w:rPr>
              <w:t>s az objektív meghatározás lehetősége, javasolt a felülvizsgálatuk, pontosításuk</w:t>
            </w:r>
            <w:r>
              <w:rPr>
                <w:i/>
                <w:sz w:val="20"/>
                <w:szCs w:val="20"/>
              </w:rPr>
              <w:t>, legalábbis a pályázati felhívás szintjén</w:t>
            </w:r>
            <w:r w:rsidRPr="005F59EC">
              <w:rPr>
                <w:i/>
                <w:sz w:val="20"/>
                <w:szCs w:val="20"/>
              </w:rPr>
              <w:t>.</w:t>
            </w:r>
          </w:p>
        </w:tc>
        <w:tc>
          <w:tcPr>
            <w:tcW w:w="4111" w:type="dxa"/>
          </w:tcPr>
          <w:p w:rsidR="00E538B8" w:rsidRPr="004608CC" w:rsidRDefault="00725CC0" w:rsidP="00E538B8">
            <w:pPr>
              <w:spacing w:after="0" w:line="240" w:lineRule="auto"/>
            </w:pPr>
            <w:r>
              <w:t>Valóban jogosultsági kritériumként kívánjuk alkalmazni a költséghatékonyságot, és hogy nem lehetnek a támogatott projektek a környezetre és a helyi társadalomra káros hatással, így egyértelműen átfogalmazásra került. Véleményünk szerint ez objektíven mérlegelhető, de pontosítani fogjuk a pályázati felhívás szintjén.</w:t>
            </w:r>
          </w:p>
        </w:tc>
        <w:tc>
          <w:tcPr>
            <w:tcW w:w="2126" w:type="dxa"/>
          </w:tcPr>
          <w:p w:rsidR="00D12B9A" w:rsidRDefault="00506730" w:rsidP="00E538B8">
            <w:pPr>
              <w:spacing w:after="0" w:line="240" w:lineRule="auto"/>
            </w:pPr>
            <w:r>
              <w:t>36</w:t>
            </w:r>
            <w:r w:rsidR="00D12B9A">
              <w:t>. oldal</w:t>
            </w:r>
          </w:p>
          <w:p w:rsidR="00D12B9A" w:rsidRDefault="00725CC0" w:rsidP="00E538B8">
            <w:pPr>
              <w:spacing w:after="0" w:line="240" w:lineRule="auto"/>
            </w:pPr>
            <w:r>
              <w:t xml:space="preserve">8.1. fejezet </w:t>
            </w:r>
          </w:p>
          <w:p w:rsidR="00E538B8" w:rsidRPr="004608CC" w:rsidRDefault="00725CC0" w:rsidP="00E538B8">
            <w:pPr>
              <w:spacing w:after="0" w:line="240" w:lineRule="auto"/>
            </w:pPr>
            <w:r>
              <w:t>2. intézkedés</w:t>
            </w:r>
          </w:p>
        </w:tc>
      </w:tr>
      <w:tr w:rsidR="00E538B8" w:rsidRPr="004608CC" w:rsidTr="004608CC">
        <w:tc>
          <w:tcPr>
            <w:tcW w:w="2836" w:type="dxa"/>
            <w:vMerge/>
            <w:vAlign w:val="center"/>
          </w:tcPr>
          <w:p w:rsidR="00E538B8" w:rsidRPr="004608CC" w:rsidRDefault="00E538B8" w:rsidP="00E538B8">
            <w:pPr>
              <w:spacing w:after="0" w:line="240" w:lineRule="auto"/>
              <w:rPr>
                <w:i/>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0F34F1">
              <w:rPr>
                <w:i/>
                <w:sz w:val="20"/>
                <w:szCs w:val="20"/>
              </w:rPr>
              <w:t xml:space="preserve">A 3. sz. intézkedés 5. kritériuma (rendezvénynaptárban való szereplés) sérti az egyenlő bánásmód elvét, mivel nem </w:t>
            </w:r>
            <w:r w:rsidRPr="000F34F1">
              <w:rPr>
                <w:i/>
                <w:sz w:val="20"/>
                <w:szCs w:val="20"/>
              </w:rPr>
              <w:lastRenderedPageBreak/>
              <w:t>tudható, miként lehet bekerülni a rendezvénynaptárba. Másfelől a támogató saját tevékenységének következményévé teszi ezt a kiválasztási kritériumot, amely így szintén alkalmas a pályázókkal kapcsolatos egyenlő bánásmód elvének megsértésére. Javasoljuk a kritérium törlését</w:t>
            </w:r>
            <w:r>
              <w:rPr>
                <w:i/>
                <w:sz w:val="20"/>
                <w:szCs w:val="20"/>
              </w:rPr>
              <w:t>.</w:t>
            </w:r>
          </w:p>
        </w:tc>
        <w:tc>
          <w:tcPr>
            <w:tcW w:w="4111" w:type="dxa"/>
          </w:tcPr>
          <w:p w:rsidR="00E538B8" w:rsidRPr="004608CC" w:rsidRDefault="00725CC0" w:rsidP="00E538B8">
            <w:pPr>
              <w:spacing w:after="0" w:line="240" w:lineRule="auto"/>
            </w:pPr>
            <w:r>
              <w:lastRenderedPageBreak/>
              <w:t xml:space="preserve">A kritérium korábban már több LEADER pályázati körben is jól működött. Nem </w:t>
            </w:r>
            <w:r>
              <w:lastRenderedPageBreak/>
              <w:t>diszkriminatív és nem függ a tevékenységünktől. Időkorlát nélkül, bárki bármikor leadhatja a rendezvényének az időpontját és helyszínét a rendezvény naptárunkba, amit online működtetünk a honlapunkon. Ezzel a célunk az, hogy nyilvános legyen a tervezett rendezvények időpontja, és ezáltal a szervezők tudjanak igazodni egymáshoz, ne egy időpontba kerüljenek a rendezvények, ami régen gyakorlat volt. Emiatt nem hogy a turisták nem tudtak elmenni az egy időpontban megszervezett rendezvényekre, de még a szomszéd települések lakói sem. Az egyértelműség kedvéért, a pályázati felhívásban is fel fogjuk tüntetni a rendezvények regisztrálásának a módját, ami akár egy egyszerű e-maillel megtehető.</w:t>
            </w:r>
          </w:p>
        </w:tc>
        <w:tc>
          <w:tcPr>
            <w:tcW w:w="2126" w:type="dxa"/>
          </w:tcPr>
          <w:p w:rsidR="00D12B9A" w:rsidRDefault="00506730" w:rsidP="00E538B8">
            <w:pPr>
              <w:spacing w:after="0" w:line="240" w:lineRule="auto"/>
            </w:pPr>
            <w:r>
              <w:lastRenderedPageBreak/>
              <w:t>36</w:t>
            </w:r>
            <w:r w:rsidR="00D12B9A">
              <w:t>. oldal</w:t>
            </w:r>
          </w:p>
          <w:p w:rsidR="00D12B9A" w:rsidRDefault="00D12B9A" w:rsidP="00E538B8">
            <w:pPr>
              <w:spacing w:after="0" w:line="240" w:lineRule="auto"/>
            </w:pPr>
            <w:r>
              <w:t>8.1. fejezet</w:t>
            </w:r>
          </w:p>
          <w:p w:rsidR="00E538B8" w:rsidRPr="004608CC" w:rsidRDefault="00725CC0" w:rsidP="00E538B8">
            <w:pPr>
              <w:spacing w:after="0" w:line="240" w:lineRule="auto"/>
            </w:pPr>
            <w:r>
              <w:lastRenderedPageBreak/>
              <w:t>3. intézkedés</w:t>
            </w:r>
          </w:p>
        </w:tc>
      </w:tr>
      <w:tr w:rsidR="00E538B8" w:rsidRPr="004608CC" w:rsidTr="004608CC">
        <w:tc>
          <w:tcPr>
            <w:tcW w:w="2836" w:type="dxa"/>
            <w:vMerge/>
            <w:vAlign w:val="center"/>
          </w:tcPr>
          <w:p w:rsidR="00E538B8" w:rsidRPr="004608CC" w:rsidRDefault="00E538B8" w:rsidP="00E538B8">
            <w:pPr>
              <w:spacing w:after="0" w:line="240" w:lineRule="auto"/>
              <w:rPr>
                <w:sz w:val="20"/>
                <w:szCs w:val="20"/>
              </w:rPr>
            </w:pPr>
          </w:p>
        </w:tc>
        <w:tc>
          <w:tcPr>
            <w:tcW w:w="5386" w:type="dxa"/>
          </w:tcPr>
          <w:p w:rsidR="00E538B8" w:rsidRPr="005F59E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Tekintettel arra, hogy a „Képzések támogatása” intézkedés keretében (4. intézkedés) megvalósuló két képzési forma közül az egyik a leginkább rászoruló rétegek képzésére irányul, megfontolandó a hátrányos helyzetű/rászorult társadalmi csoportok képzése terén szerzett tapasztalatot megjeleníteni a kiválasztási kritériumok között.</w:t>
            </w:r>
          </w:p>
        </w:tc>
        <w:tc>
          <w:tcPr>
            <w:tcW w:w="4111" w:type="dxa"/>
          </w:tcPr>
          <w:p w:rsidR="00E538B8" w:rsidRPr="004608CC" w:rsidRDefault="00725CC0" w:rsidP="00E538B8">
            <w:pPr>
              <w:spacing w:after="0" w:line="240" w:lineRule="auto"/>
            </w:pPr>
            <w:r>
              <w:t>A javaslatnak megfelelően kiválasztási kritériumként bevettük, hogy előnyt élveznek a célcsoport vonatkozásában tapasztalattal rendelkező képző szervek.</w:t>
            </w:r>
          </w:p>
        </w:tc>
        <w:tc>
          <w:tcPr>
            <w:tcW w:w="2126" w:type="dxa"/>
          </w:tcPr>
          <w:p w:rsidR="00D12B9A" w:rsidRDefault="00506730" w:rsidP="00725CC0">
            <w:pPr>
              <w:spacing w:after="0" w:line="240" w:lineRule="auto"/>
            </w:pPr>
            <w:r>
              <w:t>37</w:t>
            </w:r>
            <w:r w:rsidR="00D12B9A">
              <w:t>. oldal</w:t>
            </w:r>
          </w:p>
          <w:p w:rsidR="00725CC0" w:rsidRDefault="00725CC0" w:rsidP="00725CC0">
            <w:pPr>
              <w:spacing w:after="0" w:line="240" w:lineRule="auto"/>
            </w:pPr>
            <w:r>
              <w:t>8.1. fejezet</w:t>
            </w:r>
          </w:p>
          <w:p w:rsidR="00E538B8" w:rsidRPr="004608CC" w:rsidRDefault="00725CC0" w:rsidP="00725CC0">
            <w:pPr>
              <w:spacing w:after="0" w:line="240" w:lineRule="auto"/>
            </w:pPr>
            <w:r>
              <w:t>4. intézkedés</w:t>
            </w:r>
          </w:p>
        </w:tc>
      </w:tr>
      <w:tr w:rsidR="00E538B8" w:rsidRPr="004608CC" w:rsidTr="001E37D6">
        <w:trPr>
          <w:trHeight w:val="1221"/>
        </w:trPr>
        <w:tc>
          <w:tcPr>
            <w:tcW w:w="2836" w:type="dxa"/>
            <w:vMerge/>
            <w:vAlign w:val="center"/>
          </w:tcPr>
          <w:p w:rsidR="00E538B8" w:rsidRPr="004608CC" w:rsidRDefault="00E538B8" w:rsidP="00E538B8">
            <w:pPr>
              <w:spacing w:after="0" w:line="240" w:lineRule="auto"/>
              <w:rPr>
                <w:sz w:val="20"/>
                <w:szCs w:val="20"/>
              </w:rPr>
            </w:pPr>
          </w:p>
        </w:tc>
        <w:tc>
          <w:tcPr>
            <w:tcW w:w="5386" w:type="dxa"/>
          </w:tcPr>
          <w:p w:rsidR="00E538B8" w:rsidRPr="000F34F1"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0F34F1">
              <w:rPr>
                <w:i/>
                <w:sz w:val="20"/>
                <w:szCs w:val="20"/>
              </w:rPr>
              <w:t>A 4. sz. intézkedés kiválasztási kritériumaiból több (1,3) jogosultsági kritérium, javasoljuk aszerint megnevezni. A két említett kritérium esetén kérdés</w:t>
            </w:r>
            <w:r>
              <w:rPr>
                <w:i/>
                <w:sz w:val="20"/>
                <w:szCs w:val="20"/>
              </w:rPr>
              <w:t>e</w:t>
            </w:r>
            <w:r w:rsidRPr="000F34F1">
              <w:rPr>
                <w:i/>
                <w:sz w:val="20"/>
                <w:szCs w:val="20"/>
              </w:rPr>
              <w:t>s az objektív meghatározás lehetősége, javasolt a felülvizsgálatuk, pontosításuk</w:t>
            </w:r>
            <w:r>
              <w:rPr>
                <w:i/>
                <w:sz w:val="20"/>
                <w:szCs w:val="20"/>
              </w:rPr>
              <w:t>, legalábbis a pályázati felhívás szintjén.</w:t>
            </w:r>
          </w:p>
        </w:tc>
        <w:tc>
          <w:tcPr>
            <w:tcW w:w="4111" w:type="dxa"/>
          </w:tcPr>
          <w:p w:rsidR="00E538B8" w:rsidRPr="004608CC" w:rsidRDefault="00725CC0" w:rsidP="00E538B8">
            <w:pPr>
              <w:spacing w:after="0" w:line="240" w:lineRule="auto"/>
            </w:pPr>
            <w:r>
              <w:t>Valóban jogosultsági kritériumként kívánjuk alkalmazni a költséghatékonyságot, és hogy nem lehetnek a támogatott projektek a környezetre és a helyi társadalomra káros hatással, így egyértelműen átfogalmazásra került. Véleményünk szerint ez objektíven mérlegelhető, de pontosítani fogjuk a pályázati felhívás szintjén.</w:t>
            </w:r>
          </w:p>
        </w:tc>
        <w:tc>
          <w:tcPr>
            <w:tcW w:w="2126" w:type="dxa"/>
          </w:tcPr>
          <w:p w:rsidR="00D12B9A" w:rsidRDefault="00506730" w:rsidP="00E538B8">
            <w:pPr>
              <w:spacing w:after="0" w:line="240" w:lineRule="auto"/>
            </w:pPr>
            <w:r>
              <w:t>37</w:t>
            </w:r>
            <w:r w:rsidR="00D12B9A">
              <w:t>. oldal</w:t>
            </w:r>
          </w:p>
          <w:p w:rsidR="00D12B9A" w:rsidRDefault="00D12B9A" w:rsidP="00E538B8">
            <w:pPr>
              <w:spacing w:after="0" w:line="240" w:lineRule="auto"/>
            </w:pPr>
            <w:r>
              <w:t>8.1. fejezet</w:t>
            </w:r>
          </w:p>
          <w:p w:rsidR="00E538B8" w:rsidRPr="004608CC" w:rsidRDefault="00725CC0" w:rsidP="00E538B8">
            <w:pPr>
              <w:spacing w:after="0" w:line="240" w:lineRule="auto"/>
            </w:pPr>
            <w:r>
              <w:t>4. intézkedés</w:t>
            </w:r>
          </w:p>
        </w:tc>
      </w:tr>
      <w:tr w:rsidR="00E538B8" w:rsidRPr="004608CC" w:rsidTr="004608CC">
        <w:tc>
          <w:tcPr>
            <w:tcW w:w="14459" w:type="dxa"/>
            <w:gridSpan w:val="4"/>
            <w:tcBorders>
              <w:top w:val="nil"/>
              <w:left w:val="nil"/>
              <w:bottom w:val="nil"/>
              <w:right w:val="nil"/>
            </w:tcBorders>
            <w:shd w:val="clear" w:color="auto" w:fill="538135"/>
            <w:vAlign w:val="center"/>
          </w:tcPr>
          <w:p w:rsidR="00E538B8" w:rsidRPr="004608CC" w:rsidRDefault="00E538B8" w:rsidP="00E538B8">
            <w:pPr>
              <w:spacing w:before="60" w:after="60" w:line="240" w:lineRule="auto"/>
              <w:jc w:val="center"/>
              <w:rPr>
                <w:b/>
                <w:i/>
                <w:color w:val="FFFFFF"/>
              </w:rPr>
            </w:pPr>
            <w:r w:rsidRPr="004608CC">
              <w:rPr>
                <w:b/>
                <w:i/>
                <w:color w:val="FFFFFF"/>
                <w:sz w:val="20"/>
                <w:szCs w:val="20"/>
              </w:rPr>
              <w:lastRenderedPageBreak/>
              <w:t xml:space="preserve">A stratégia monitoring, értékelési és visszacsatolási mechanizmusainak alkalmassága a HFS célok </w:t>
            </w:r>
            <w:proofErr w:type="gramStart"/>
            <w:r w:rsidRPr="004608CC">
              <w:rPr>
                <w:b/>
                <w:i/>
                <w:color w:val="FFFFFF"/>
                <w:sz w:val="20"/>
                <w:szCs w:val="20"/>
              </w:rPr>
              <w:t>és  ezek</w:t>
            </w:r>
            <w:proofErr w:type="gramEnd"/>
            <w:r w:rsidRPr="004608CC">
              <w:rPr>
                <w:b/>
                <w:i/>
                <w:color w:val="FFFFFF"/>
                <w:sz w:val="20"/>
                <w:szCs w:val="20"/>
              </w:rPr>
              <w:t xml:space="preserve"> teljesülésének mérésére és a HACS működésének értékelésére</w:t>
            </w:r>
          </w:p>
        </w:tc>
      </w:tr>
      <w:tr w:rsidR="00E538B8" w:rsidRPr="004608CC" w:rsidTr="004608CC">
        <w:tc>
          <w:tcPr>
            <w:tcW w:w="2836"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Módosítások helye</w:t>
            </w:r>
          </w:p>
        </w:tc>
      </w:tr>
      <w:tr w:rsidR="00E538B8" w:rsidRPr="004608CC" w:rsidTr="004608CC">
        <w:tc>
          <w:tcPr>
            <w:tcW w:w="2836" w:type="dxa"/>
          </w:tcPr>
          <w:p w:rsidR="00E538B8" w:rsidRPr="004608CC" w:rsidRDefault="00E538B8" w:rsidP="00E538B8">
            <w:pPr>
              <w:spacing w:after="0" w:line="240" w:lineRule="auto"/>
              <w:rPr>
                <w:sz w:val="20"/>
                <w:szCs w:val="20"/>
              </w:rPr>
            </w:pPr>
            <w:r w:rsidRPr="004608CC">
              <w:rPr>
                <w:sz w:val="20"/>
                <w:szCs w:val="20"/>
              </w:rPr>
              <w:t>A monitoring adatok adatforrása, a gyűjtés módszere, gyakorisága megfelelő, megvalósítható.</w:t>
            </w:r>
          </w:p>
          <w:p w:rsidR="00E538B8" w:rsidRPr="004608CC" w:rsidRDefault="00E538B8" w:rsidP="00E538B8">
            <w:pPr>
              <w:spacing w:after="0" w:line="240" w:lineRule="auto"/>
              <w:rPr>
                <w:sz w:val="20"/>
                <w:szCs w:val="20"/>
              </w:rPr>
            </w:pPr>
            <w:r w:rsidRPr="004608CC">
              <w:rPr>
                <w:sz w:val="20"/>
                <w:szCs w:val="20"/>
              </w:rPr>
              <w:t>Az elemzés és a visszacsatolás biztosított.</w:t>
            </w:r>
          </w:p>
        </w:tc>
        <w:tc>
          <w:tcPr>
            <w:tcW w:w="5386" w:type="dxa"/>
          </w:tcPr>
          <w:p w:rsidR="00E538B8" w:rsidRPr="004608CC" w:rsidRDefault="00E538B8" w:rsidP="00E538B8">
            <w:pPr>
              <w:spacing w:after="0" w:line="240" w:lineRule="auto"/>
              <w:rPr>
                <w:i/>
                <w:sz w:val="20"/>
                <w:szCs w:val="20"/>
              </w:rPr>
            </w:pPr>
            <w:r w:rsidRPr="004608CC">
              <w:rPr>
                <w:b/>
                <w:sz w:val="20"/>
                <w:szCs w:val="20"/>
                <w:u w:val="single"/>
              </w:rPr>
              <w:t>jelenleg nem értékelt</w:t>
            </w:r>
          </w:p>
        </w:tc>
        <w:tc>
          <w:tcPr>
            <w:tcW w:w="4111" w:type="dxa"/>
          </w:tcPr>
          <w:p w:rsidR="00E538B8" w:rsidRPr="004608CC" w:rsidRDefault="00E538B8" w:rsidP="00E538B8">
            <w:pPr>
              <w:spacing w:after="0" w:line="240" w:lineRule="auto"/>
            </w:pPr>
          </w:p>
        </w:tc>
        <w:tc>
          <w:tcPr>
            <w:tcW w:w="2126" w:type="dxa"/>
          </w:tcPr>
          <w:p w:rsidR="00E538B8" w:rsidRPr="004608CC" w:rsidRDefault="00E538B8" w:rsidP="00E538B8">
            <w:pPr>
              <w:spacing w:after="0" w:line="240" w:lineRule="auto"/>
            </w:pPr>
          </w:p>
        </w:tc>
      </w:tr>
      <w:tr w:rsidR="00E538B8" w:rsidRPr="004608CC" w:rsidTr="004608CC">
        <w:tc>
          <w:tcPr>
            <w:tcW w:w="2836" w:type="dxa"/>
            <w:tcBorders>
              <w:bottom w:val="nil"/>
            </w:tcBorders>
          </w:tcPr>
          <w:p w:rsidR="00E538B8" w:rsidRPr="004608CC" w:rsidRDefault="00E538B8" w:rsidP="00E538B8">
            <w:pPr>
              <w:spacing w:after="0" w:line="240" w:lineRule="auto"/>
              <w:rPr>
                <w:sz w:val="20"/>
                <w:szCs w:val="20"/>
              </w:rPr>
            </w:pPr>
            <w:r w:rsidRPr="004608CC">
              <w:rPr>
                <w:sz w:val="20"/>
                <w:szCs w:val="20"/>
              </w:rPr>
              <w:t>Az önértékelés módszere, ütemezése megfelelő. A visszacsatolás biztosított</w:t>
            </w:r>
          </w:p>
        </w:tc>
        <w:tc>
          <w:tcPr>
            <w:tcW w:w="5386" w:type="dxa"/>
            <w:tcBorders>
              <w:bottom w:val="nil"/>
            </w:tcBorders>
          </w:tcPr>
          <w:p w:rsidR="00E538B8" w:rsidRPr="004608CC" w:rsidRDefault="00E538B8" w:rsidP="00E538B8">
            <w:pPr>
              <w:spacing w:after="0" w:line="240" w:lineRule="auto"/>
              <w:rPr>
                <w:i/>
                <w:sz w:val="20"/>
                <w:szCs w:val="20"/>
              </w:rPr>
            </w:pPr>
            <w:r w:rsidRPr="004608CC">
              <w:rPr>
                <w:b/>
                <w:sz w:val="20"/>
                <w:szCs w:val="20"/>
                <w:u w:val="single"/>
              </w:rPr>
              <w:t>jelenleg nem értékelt</w:t>
            </w:r>
          </w:p>
        </w:tc>
        <w:tc>
          <w:tcPr>
            <w:tcW w:w="4111" w:type="dxa"/>
            <w:tcBorders>
              <w:bottom w:val="nil"/>
            </w:tcBorders>
          </w:tcPr>
          <w:p w:rsidR="00E538B8" w:rsidRPr="004608CC" w:rsidRDefault="00E538B8" w:rsidP="00E538B8">
            <w:pPr>
              <w:spacing w:after="0" w:line="240" w:lineRule="auto"/>
            </w:pPr>
          </w:p>
        </w:tc>
        <w:tc>
          <w:tcPr>
            <w:tcW w:w="2126" w:type="dxa"/>
            <w:tcBorders>
              <w:bottom w:val="nil"/>
            </w:tcBorders>
          </w:tcPr>
          <w:p w:rsidR="00E538B8" w:rsidRPr="004608CC" w:rsidRDefault="00E538B8" w:rsidP="00E538B8">
            <w:pPr>
              <w:spacing w:after="0" w:line="240" w:lineRule="auto"/>
            </w:pPr>
          </w:p>
        </w:tc>
      </w:tr>
      <w:tr w:rsidR="00E538B8" w:rsidRPr="004608CC" w:rsidTr="004608CC">
        <w:tc>
          <w:tcPr>
            <w:tcW w:w="14459" w:type="dxa"/>
            <w:gridSpan w:val="4"/>
            <w:tcBorders>
              <w:top w:val="nil"/>
              <w:left w:val="nil"/>
              <w:bottom w:val="nil"/>
              <w:right w:val="nil"/>
            </w:tcBorders>
            <w:shd w:val="clear" w:color="auto" w:fill="538135"/>
            <w:vAlign w:val="center"/>
          </w:tcPr>
          <w:p w:rsidR="00E538B8" w:rsidRPr="004608CC" w:rsidRDefault="00E538B8" w:rsidP="00E538B8">
            <w:pPr>
              <w:spacing w:before="60" w:after="60" w:line="240" w:lineRule="auto"/>
              <w:jc w:val="center"/>
              <w:rPr>
                <w:b/>
                <w:i/>
                <w:color w:val="FFFFFF"/>
              </w:rPr>
            </w:pPr>
            <w:r w:rsidRPr="004608CC">
              <w:rPr>
                <w:b/>
                <w:i/>
                <w:color w:val="FFFFFF"/>
                <w:sz w:val="20"/>
                <w:szCs w:val="20"/>
              </w:rPr>
              <w:t>A stratégia kiegészítő jellege és összhangja a PM, VP és releváns OP-k céljaival</w:t>
            </w:r>
          </w:p>
        </w:tc>
      </w:tr>
      <w:tr w:rsidR="00E538B8" w:rsidRPr="004608CC" w:rsidTr="004608CC">
        <w:tc>
          <w:tcPr>
            <w:tcW w:w="2836"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 xml:space="preserve">Módosítások helye </w:t>
            </w:r>
          </w:p>
        </w:tc>
      </w:tr>
      <w:tr w:rsidR="00E538B8" w:rsidRPr="004608CC" w:rsidTr="004608CC">
        <w:tc>
          <w:tcPr>
            <w:tcW w:w="2836" w:type="dxa"/>
            <w:vMerge w:val="restart"/>
            <w:vAlign w:val="center"/>
          </w:tcPr>
          <w:p w:rsidR="00E538B8" w:rsidRPr="004608CC" w:rsidRDefault="00E538B8" w:rsidP="00E538B8">
            <w:pPr>
              <w:spacing w:after="0" w:line="240" w:lineRule="auto"/>
              <w:rPr>
                <w:sz w:val="20"/>
                <w:szCs w:val="20"/>
              </w:rPr>
            </w:pPr>
            <w:r w:rsidRPr="004608CC">
              <w:rPr>
                <w:sz w:val="20"/>
                <w:szCs w:val="20"/>
              </w:rPr>
              <w:t>A stratégia céljai és intézkedései összhangban vannak a VP és a LEADER intézkedés céljaival.</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Az intézkedések leírása megfelelően alátámasztja az adott intézkedés kiegészítő jellegét. A kapcsolódások és a lehatárolások is megfelelőek.</w:t>
            </w:r>
          </w:p>
        </w:tc>
        <w:tc>
          <w:tcPr>
            <w:tcW w:w="5386" w:type="dxa"/>
          </w:tcPr>
          <w:p w:rsidR="00E538B8" w:rsidRPr="004608C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 xml:space="preserve">Az 1. számú intézkedés esetén a VP 6.2.1 intézkedéstől való lehatárolás nem elégséges, mivel a HFS intézkedése támogatja ugyanazt a </w:t>
            </w:r>
            <w:proofErr w:type="spellStart"/>
            <w:r w:rsidRPr="005F59EC">
              <w:rPr>
                <w:i/>
                <w:sz w:val="20"/>
                <w:szCs w:val="20"/>
              </w:rPr>
              <w:t>jogosulti</w:t>
            </w:r>
            <w:proofErr w:type="spellEnd"/>
            <w:r w:rsidRPr="005F59EC">
              <w:rPr>
                <w:i/>
                <w:sz w:val="20"/>
                <w:szCs w:val="20"/>
              </w:rPr>
              <w:t xml:space="preserve"> kört (induló egyéni </w:t>
            </w:r>
            <w:proofErr w:type="spellStart"/>
            <w:r w:rsidRPr="005F59EC">
              <w:rPr>
                <w:i/>
                <w:sz w:val="20"/>
                <w:szCs w:val="20"/>
              </w:rPr>
              <w:t>mikrovállalkozás</w:t>
            </w:r>
            <w:proofErr w:type="spellEnd"/>
            <w:r w:rsidRPr="005F59EC">
              <w:rPr>
                <w:i/>
                <w:sz w:val="20"/>
                <w:szCs w:val="20"/>
              </w:rPr>
              <w:t>), egyedül a támogatási eszköz tekintetében más a HFS intézkedés, tartalmában lényegében nem. Javasolt a lehatárolás pontosítása</w:t>
            </w:r>
          </w:p>
        </w:tc>
        <w:tc>
          <w:tcPr>
            <w:tcW w:w="4111" w:type="dxa"/>
          </w:tcPr>
          <w:p w:rsidR="00E538B8" w:rsidRPr="004608CC" w:rsidRDefault="00725CC0" w:rsidP="00E538B8">
            <w:pPr>
              <w:spacing w:after="0" w:line="240" w:lineRule="auto"/>
            </w:pPr>
            <w:r>
              <w:t>Valóban nehéz a lehatárolás egy olyan intézkedéstől, amitől nem az alanyai alapján kívánjuk megkülönböztetni magunkat. Más EU forrásokból is van lehetőség induló vállalkozások támogatására. Nekünk az elérendő céljaink és az alkalmazott eszközeink is mások. A nevezett fejezetben részletesebben kifejtésre került az elhatárolás.</w:t>
            </w:r>
          </w:p>
        </w:tc>
        <w:tc>
          <w:tcPr>
            <w:tcW w:w="2126" w:type="dxa"/>
          </w:tcPr>
          <w:p w:rsidR="00D12B9A" w:rsidRDefault="00506730" w:rsidP="00E538B8">
            <w:pPr>
              <w:spacing w:after="0" w:line="240" w:lineRule="auto"/>
            </w:pPr>
            <w:r>
              <w:t>33</w:t>
            </w:r>
            <w:r w:rsidR="00D12B9A">
              <w:t>. oldal</w:t>
            </w:r>
          </w:p>
          <w:p w:rsidR="00D12B9A" w:rsidRDefault="00D12B9A" w:rsidP="00E538B8">
            <w:pPr>
              <w:spacing w:after="0" w:line="240" w:lineRule="auto"/>
            </w:pPr>
            <w:r>
              <w:t>8.1. fejezet</w:t>
            </w:r>
          </w:p>
          <w:p w:rsidR="00E538B8" w:rsidRPr="004608CC" w:rsidRDefault="00725CC0" w:rsidP="00E538B8">
            <w:pPr>
              <w:spacing w:after="0" w:line="240" w:lineRule="auto"/>
            </w:pPr>
            <w:r>
              <w:t>1. intézkedés</w:t>
            </w:r>
          </w:p>
        </w:tc>
      </w:tr>
      <w:tr w:rsidR="00E538B8" w:rsidRPr="004608CC" w:rsidTr="00DB141E">
        <w:trPr>
          <w:trHeight w:val="1210"/>
        </w:trPr>
        <w:tc>
          <w:tcPr>
            <w:tcW w:w="2836" w:type="dxa"/>
            <w:vMerge/>
          </w:tcPr>
          <w:p w:rsidR="00E538B8" w:rsidRPr="004608CC" w:rsidRDefault="00E538B8" w:rsidP="00E538B8">
            <w:pPr>
              <w:spacing w:after="0" w:line="240" w:lineRule="auto"/>
              <w:rPr>
                <w:sz w:val="20"/>
                <w:szCs w:val="20"/>
              </w:rPr>
            </w:pPr>
          </w:p>
        </w:tc>
        <w:tc>
          <w:tcPr>
            <w:tcW w:w="5386" w:type="dxa"/>
          </w:tcPr>
          <w:p w:rsidR="00E538B8" w:rsidRPr="004608C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5F59EC">
              <w:rPr>
                <w:i/>
                <w:sz w:val="20"/>
                <w:szCs w:val="20"/>
              </w:rPr>
              <w:t>A 2. sz. intézkedés esetén javasolt a lehatárolás kiegészítése a VP 7.2.1 és 7.4.1 intézkedésektől, mivel azok tartalmilag lehetőséget adnak közösségi célokat szolgáló ingatlanok fejlesztésére csakúgy, mint a HFS tervezett intézkedése.</w:t>
            </w:r>
          </w:p>
        </w:tc>
        <w:tc>
          <w:tcPr>
            <w:tcW w:w="4111" w:type="dxa"/>
          </w:tcPr>
          <w:p w:rsidR="00E538B8" w:rsidRPr="004608CC" w:rsidRDefault="00725CC0" w:rsidP="00E538B8">
            <w:pPr>
              <w:spacing w:after="0" w:line="240" w:lineRule="auto"/>
            </w:pPr>
            <w:r>
              <w:t>A lehatárolás bővebben kifejtésre került a VP 7.2.1. és VP 7.4.1. intézkedések vonatkozásában.</w:t>
            </w:r>
          </w:p>
        </w:tc>
        <w:tc>
          <w:tcPr>
            <w:tcW w:w="2126" w:type="dxa"/>
          </w:tcPr>
          <w:p w:rsidR="00D12B9A" w:rsidRDefault="00506730" w:rsidP="00E538B8">
            <w:pPr>
              <w:spacing w:after="0" w:line="240" w:lineRule="auto"/>
            </w:pPr>
            <w:r>
              <w:t>34.</w:t>
            </w:r>
            <w:r w:rsidR="00D12B9A">
              <w:t xml:space="preserve"> oldal</w:t>
            </w:r>
          </w:p>
          <w:p w:rsidR="00D12B9A" w:rsidRDefault="00D12B9A" w:rsidP="00E538B8">
            <w:pPr>
              <w:spacing w:after="0" w:line="240" w:lineRule="auto"/>
            </w:pPr>
            <w:r>
              <w:t>8.1. fejezet</w:t>
            </w:r>
          </w:p>
          <w:p w:rsidR="00E538B8" w:rsidRPr="004608CC" w:rsidRDefault="00725CC0" w:rsidP="00E538B8">
            <w:pPr>
              <w:spacing w:after="0" w:line="240" w:lineRule="auto"/>
            </w:pPr>
            <w:r>
              <w:t>2. intézkedés</w:t>
            </w:r>
          </w:p>
        </w:tc>
      </w:tr>
      <w:tr w:rsidR="00E538B8" w:rsidRPr="004608CC" w:rsidTr="004608CC">
        <w:tc>
          <w:tcPr>
            <w:tcW w:w="14459" w:type="dxa"/>
            <w:gridSpan w:val="4"/>
            <w:tcBorders>
              <w:top w:val="nil"/>
              <w:left w:val="nil"/>
              <w:bottom w:val="nil"/>
              <w:right w:val="nil"/>
            </w:tcBorders>
            <w:shd w:val="clear" w:color="auto" w:fill="538135"/>
            <w:vAlign w:val="center"/>
          </w:tcPr>
          <w:p w:rsidR="00E538B8" w:rsidRPr="004608CC" w:rsidRDefault="00E538B8" w:rsidP="00E538B8">
            <w:pPr>
              <w:spacing w:before="60" w:after="60" w:line="240" w:lineRule="auto"/>
              <w:jc w:val="center"/>
              <w:rPr>
                <w:b/>
                <w:i/>
                <w:color w:val="FFFFFF"/>
              </w:rPr>
            </w:pPr>
            <w:r w:rsidRPr="004608CC">
              <w:rPr>
                <w:b/>
                <w:i/>
                <w:color w:val="FFFFFF"/>
                <w:sz w:val="20"/>
                <w:szCs w:val="20"/>
              </w:rPr>
              <w:t>A stratégia hozzájárulása a LEADER elvekhez és a horizontális célokhoz</w:t>
            </w:r>
          </w:p>
        </w:tc>
      </w:tr>
      <w:tr w:rsidR="00E538B8" w:rsidRPr="004608CC" w:rsidTr="004608CC">
        <w:tc>
          <w:tcPr>
            <w:tcW w:w="2836"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E538B8" w:rsidRPr="004608CC" w:rsidRDefault="00E538B8" w:rsidP="00E538B8">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E538B8" w:rsidRPr="004608CC" w:rsidRDefault="00E538B8" w:rsidP="00E538B8">
            <w:pPr>
              <w:spacing w:after="0" w:line="240" w:lineRule="auto"/>
              <w:rPr>
                <w:b/>
                <w:color w:val="538135"/>
                <w:sz w:val="20"/>
                <w:szCs w:val="20"/>
              </w:rPr>
            </w:pPr>
            <w:r w:rsidRPr="004608CC">
              <w:rPr>
                <w:b/>
                <w:color w:val="538135"/>
                <w:sz w:val="20"/>
                <w:szCs w:val="20"/>
              </w:rPr>
              <w:t xml:space="preserve">Módosítások helye </w:t>
            </w:r>
          </w:p>
        </w:tc>
      </w:tr>
      <w:tr w:rsidR="00E538B8" w:rsidRPr="004608CC" w:rsidTr="004608CC">
        <w:trPr>
          <w:trHeight w:val="2126"/>
        </w:trPr>
        <w:tc>
          <w:tcPr>
            <w:tcW w:w="2836" w:type="dxa"/>
          </w:tcPr>
          <w:p w:rsidR="00E538B8" w:rsidRPr="004608CC" w:rsidRDefault="00E538B8" w:rsidP="00E538B8">
            <w:pPr>
              <w:spacing w:after="0" w:line="240" w:lineRule="auto"/>
              <w:rPr>
                <w:sz w:val="20"/>
                <w:szCs w:val="20"/>
              </w:rPr>
            </w:pPr>
            <w:r w:rsidRPr="004608CC">
              <w:rPr>
                <w:sz w:val="20"/>
                <w:szCs w:val="20"/>
              </w:rPr>
              <w:lastRenderedPageBreak/>
              <w:t>A stratégia bemutatja, hogyan járul hozzá a munkahelyteremtéshez és a jövedelemgeneráláshoz.</w:t>
            </w:r>
          </w:p>
          <w:p w:rsidR="00E538B8" w:rsidRPr="004608CC" w:rsidRDefault="00E538B8" w:rsidP="00E538B8">
            <w:pPr>
              <w:spacing w:after="0" w:line="240" w:lineRule="auto"/>
              <w:rPr>
                <w:i/>
                <w:sz w:val="20"/>
                <w:szCs w:val="20"/>
              </w:rPr>
            </w:pPr>
          </w:p>
          <w:p w:rsidR="00E538B8" w:rsidRPr="004608CC" w:rsidRDefault="00E538B8" w:rsidP="00E538B8">
            <w:pPr>
              <w:spacing w:after="0" w:line="240" w:lineRule="auto"/>
              <w:rPr>
                <w:sz w:val="20"/>
                <w:szCs w:val="20"/>
              </w:rPr>
            </w:pPr>
            <w:r w:rsidRPr="004608CC">
              <w:rPr>
                <w:sz w:val="20"/>
                <w:szCs w:val="20"/>
              </w:rPr>
              <w:t>A stratégia bemutatja, hogyan járul hozzá a</w:t>
            </w:r>
            <w:r w:rsidRPr="004608CC">
              <w:rPr>
                <w:b/>
                <w:sz w:val="20"/>
                <w:szCs w:val="20"/>
              </w:rPr>
              <w:t xml:space="preserve"> </w:t>
            </w:r>
            <w:r w:rsidRPr="004608CC">
              <w:rPr>
                <w:sz w:val="20"/>
                <w:szCs w:val="20"/>
              </w:rPr>
              <w:t>környezet megőrzéséhez és a klímaváltozás kihívásainak csökkentéséhez.</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 stratégia bemutatja, hogyan járul hozzá a társadalmi befogadás erősítéséhez, szükség szerint a szegénység újratermelődésének csökkentéséhez.</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A stratégia bemutatja, hogyan járul hozzá a nők esélyegyenlőségéhez, a fiatalok és egyéb sérülékeny csoportok helyzetének javításához.</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 xml:space="preserve">A stratégia bemutatja, hogyan ösztönzi az ágazatközi, szektorok közötti, több szereplőt érintő megoldásokat. </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sz w:val="20"/>
                <w:szCs w:val="20"/>
              </w:rPr>
            </w:pPr>
            <w:r w:rsidRPr="004608CC">
              <w:rPr>
                <w:sz w:val="20"/>
                <w:szCs w:val="20"/>
              </w:rPr>
              <w:t xml:space="preserve">A stratégia bemutatja, hogyan ösztönzi a helyben innovatívnak számító, új modellek kialakítását (termék, szolgáltatás, módszer) és hogyan segíti, hogy az új megoldások, ötletek, </w:t>
            </w:r>
            <w:r w:rsidRPr="004608CC">
              <w:rPr>
                <w:sz w:val="20"/>
                <w:szCs w:val="20"/>
              </w:rPr>
              <w:lastRenderedPageBreak/>
              <w:t xml:space="preserve">gyakorlatok a helyi szereplők számára elérhetővé váljanak. </w:t>
            </w:r>
          </w:p>
          <w:p w:rsidR="00E538B8" w:rsidRPr="004608CC" w:rsidRDefault="00E538B8" w:rsidP="00E538B8">
            <w:pPr>
              <w:spacing w:after="0" w:line="240" w:lineRule="auto"/>
              <w:rPr>
                <w:sz w:val="20"/>
                <w:szCs w:val="20"/>
              </w:rPr>
            </w:pPr>
          </w:p>
          <w:p w:rsidR="00E538B8" w:rsidRPr="004608CC" w:rsidRDefault="00E538B8" w:rsidP="00E538B8">
            <w:pPr>
              <w:spacing w:after="0" w:line="240" w:lineRule="auto"/>
              <w:rPr>
                <w:i/>
                <w:sz w:val="20"/>
                <w:szCs w:val="20"/>
              </w:rPr>
            </w:pPr>
            <w:r w:rsidRPr="004608CC">
              <w:rPr>
                <w:sz w:val="20"/>
                <w:szCs w:val="20"/>
              </w:rPr>
              <w:t>A stratégia bemutatja, hogyan ösztönzi az együttműködéseket és hogyan generálja a hálózatosodást.</w:t>
            </w:r>
          </w:p>
        </w:tc>
        <w:tc>
          <w:tcPr>
            <w:tcW w:w="5386" w:type="dxa"/>
          </w:tcPr>
          <w:p w:rsidR="00E538B8" w:rsidRPr="004608CC" w:rsidRDefault="00E538B8" w:rsidP="00E538B8">
            <w:pPr>
              <w:pStyle w:val="Listaszerbekezds"/>
              <w:numPr>
                <w:ilvl w:val="0"/>
                <w:numId w:val="21"/>
              </w:numPr>
              <w:tabs>
                <w:tab w:val="clear" w:pos="535"/>
                <w:tab w:val="num" w:pos="333"/>
              </w:tabs>
              <w:spacing w:after="0" w:line="240" w:lineRule="auto"/>
              <w:ind w:left="329" w:hanging="357"/>
              <w:jc w:val="both"/>
              <w:rPr>
                <w:i/>
                <w:sz w:val="20"/>
                <w:szCs w:val="20"/>
              </w:rPr>
            </w:pPr>
            <w:r w:rsidRPr="0079714F">
              <w:rPr>
                <w:i/>
                <w:sz w:val="20"/>
                <w:szCs w:val="20"/>
              </w:rPr>
              <w:lastRenderedPageBreak/>
              <w:t xml:space="preserve">Abból kiindulva, hogy a térségi közösségi szervezetek együttműködésének hiányát a </w:t>
            </w:r>
            <w:proofErr w:type="spellStart"/>
            <w:r w:rsidRPr="0079714F">
              <w:rPr>
                <w:i/>
                <w:sz w:val="20"/>
                <w:szCs w:val="20"/>
              </w:rPr>
              <w:t>SWOT</w:t>
            </w:r>
            <w:r>
              <w:rPr>
                <w:i/>
                <w:sz w:val="20"/>
                <w:szCs w:val="20"/>
              </w:rPr>
              <w:t>-</w:t>
            </w:r>
            <w:r w:rsidRPr="0079714F">
              <w:rPr>
                <w:i/>
                <w:sz w:val="20"/>
                <w:szCs w:val="20"/>
              </w:rPr>
              <w:t>elemzés</w:t>
            </w:r>
            <w:proofErr w:type="spellEnd"/>
            <w:r>
              <w:rPr>
                <w:i/>
                <w:sz w:val="20"/>
                <w:szCs w:val="20"/>
              </w:rPr>
              <w:t xml:space="preserve"> </w:t>
            </w:r>
            <w:r w:rsidRPr="0079714F">
              <w:rPr>
                <w:i/>
                <w:sz w:val="20"/>
                <w:szCs w:val="20"/>
              </w:rPr>
              <w:t>gyenges</w:t>
            </w:r>
            <w:r>
              <w:rPr>
                <w:i/>
                <w:sz w:val="20"/>
                <w:szCs w:val="20"/>
              </w:rPr>
              <w:t>ég</w:t>
            </w:r>
            <w:r w:rsidRPr="008A39C5">
              <w:rPr>
                <w:i/>
                <w:sz w:val="20"/>
                <w:szCs w:val="20"/>
              </w:rPr>
              <w:t>ként azonosítja</w:t>
            </w:r>
            <w:r w:rsidRPr="0079714F">
              <w:rPr>
                <w:i/>
                <w:sz w:val="20"/>
                <w:szCs w:val="20"/>
              </w:rPr>
              <w:t>, az együttműk</w:t>
            </w:r>
            <w:r w:rsidRPr="008A39C5">
              <w:rPr>
                <w:i/>
                <w:sz w:val="20"/>
                <w:szCs w:val="20"/>
              </w:rPr>
              <w:t>ödések generálását segíthetné</w:t>
            </w:r>
            <w:r>
              <w:rPr>
                <w:i/>
                <w:sz w:val="20"/>
                <w:szCs w:val="20"/>
              </w:rPr>
              <w:t>, ha</w:t>
            </w:r>
            <w:r w:rsidRPr="008A39C5">
              <w:rPr>
                <w:i/>
                <w:sz w:val="20"/>
                <w:szCs w:val="20"/>
              </w:rPr>
              <w:t xml:space="preserve"> a </w:t>
            </w:r>
            <w:r>
              <w:rPr>
                <w:i/>
                <w:sz w:val="20"/>
                <w:szCs w:val="20"/>
              </w:rPr>
              <w:t xml:space="preserve">helyi szereplők közötti </w:t>
            </w:r>
            <w:r w:rsidRPr="008A39C5">
              <w:rPr>
                <w:i/>
                <w:sz w:val="20"/>
                <w:szCs w:val="20"/>
              </w:rPr>
              <w:t>kooperáció</w:t>
            </w:r>
            <w:r>
              <w:rPr>
                <w:i/>
                <w:sz w:val="20"/>
                <w:szCs w:val="20"/>
              </w:rPr>
              <w:t>n alapuló projekteket</w:t>
            </w:r>
            <w:r w:rsidRPr="008A39C5">
              <w:rPr>
                <w:i/>
                <w:sz w:val="20"/>
                <w:szCs w:val="20"/>
              </w:rPr>
              <w:t xml:space="preserve"> </w:t>
            </w:r>
            <w:r>
              <w:rPr>
                <w:i/>
                <w:sz w:val="20"/>
                <w:szCs w:val="20"/>
              </w:rPr>
              <w:t>az értékelésnél előnyként a Stratéga több intézkedésénél megjelenítenék. (pl. 2. és 3. intézkedésnél is releváns lehet).</w:t>
            </w:r>
          </w:p>
        </w:tc>
        <w:tc>
          <w:tcPr>
            <w:tcW w:w="4111" w:type="dxa"/>
          </w:tcPr>
          <w:p w:rsidR="00E538B8" w:rsidRPr="004608CC" w:rsidRDefault="00725CC0" w:rsidP="00E538B8">
            <w:pPr>
              <w:spacing w:after="0" w:line="240" w:lineRule="auto"/>
            </w:pPr>
            <w:r>
              <w:t xml:space="preserve">Igen, sajnos ez nem szerencsésen került megfogalmazásra, javítottuk a </w:t>
            </w:r>
            <w:proofErr w:type="spellStart"/>
            <w:r>
              <w:t>SWOT-ban</w:t>
            </w:r>
            <w:proofErr w:type="spellEnd"/>
            <w:r>
              <w:t xml:space="preserve">. Vannak együttműködési előzmények, és azt szeretnénk, ha további együttműködések jöhetnének létre. Ehhez mi nem tartjuk jó módszernek, ha értékelési szempontként vesszük figyelembe, mert a korábbi pályázati időszakokban nem voltak pozitívak ezzel kapcsolatban a tapasztalatok. Az a tapasztalat, hogy lepapírozott együttműködések jöttek létre valós tartalom nélkül. Úgy látjuk, hogy az a jó együttműködés, ami saját indíttatásból fakad, ezért ily módon ezt nem kívánjuk ösztönözni. A 2. intézkedés, úgy került kialakításra, hogy nagyobb összeg vehető igénybe akkor, ha több település érdekét szolgálja az eszközbeszerzés. Ahhoz, hogy valaki a magasabb összegre pályázzon, konkrétan be kell mutatnia, hogy mely települések és hogyan tudják majd használni az eszközt, ezáltal valós együttműködések jöhetnek létre. például egy </w:t>
            </w:r>
            <w:proofErr w:type="spellStart"/>
            <w:r>
              <w:t>faaprítékoló</w:t>
            </w:r>
            <w:proofErr w:type="spellEnd"/>
            <w:r>
              <w:t xml:space="preserve"> gép három települést is kiszolgálhat. A 3. intézkedésnél a rendezvénynaptárban való szerepléssel szeretnénk ösztönözni a rendezvények időpontjainak egymáshoz való hangolását. Ha a szomszéd települések rendezvényei nem egy napra esnek már sikert értünk el. Ez már korábban is működött.</w:t>
            </w:r>
          </w:p>
        </w:tc>
        <w:tc>
          <w:tcPr>
            <w:tcW w:w="2126" w:type="dxa"/>
          </w:tcPr>
          <w:p w:rsidR="00E538B8" w:rsidRDefault="00506730" w:rsidP="00E538B8">
            <w:pPr>
              <w:spacing w:after="0" w:line="240" w:lineRule="auto"/>
            </w:pPr>
            <w:r>
              <w:t>25</w:t>
            </w:r>
            <w:r w:rsidR="00D12B9A">
              <w:t>-2</w:t>
            </w:r>
            <w:r>
              <w:t>6</w:t>
            </w:r>
            <w:bookmarkStart w:id="0" w:name="_GoBack"/>
            <w:bookmarkEnd w:id="0"/>
            <w:r w:rsidR="00D12B9A">
              <w:t>. oldal</w:t>
            </w:r>
          </w:p>
          <w:p w:rsidR="00D12B9A" w:rsidRDefault="00D12B9A" w:rsidP="00E538B8">
            <w:pPr>
              <w:spacing w:after="0" w:line="240" w:lineRule="auto"/>
            </w:pPr>
            <w:r>
              <w:t>4.4. fejezet</w:t>
            </w:r>
          </w:p>
          <w:p w:rsidR="00D12B9A" w:rsidRDefault="00D12B9A" w:rsidP="00E538B8">
            <w:pPr>
              <w:spacing w:after="0" w:line="240" w:lineRule="auto"/>
            </w:pPr>
          </w:p>
          <w:p w:rsidR="00D12B9A" w:rsidRDefault="00506730" w:rsidP="00E538B8">
            <w:pPr>
              <w:spacing w:after="0" w:line="240" w:lineRule="auto"/>
            </w:pPr>
            <w:r>
              <w:t>34-36</w:t>
            </w:r>
            <w:r w:rsidR="00D12B9A">
              <w:t>. oldal</w:t>
            </w:r>
          </w:p>
          <w:p w:rsidR="00D12B9A" w:rsidRDefault="00D12B9A" w:rsidP="00E538B8">
            <w:pPr>
              <w:spacing w:after="0" w:line="240" w:lineRule="auto"/>
            </w:pPr>
            <w:r>
              <w:t>8.1. fejezet</w:t>
            </w:r>
          </w:p>
          <w:p w:rsidR="00D12B9A" w:rsidRDefault="00D12B9A" w:rsidP="00E538B8">
            <w:pPr>
              <w:spacing w:after="0" w:line="240" w:lineRule="auto"/>
            </w:pPr>
            <w:r>
              <w:t>2. intézkedés</w:t>
            </w:r>
          </w:p>
          <w:p w:rsidR="00D12B9A" w:rsidRPr="004608CC" w:rsidRDefault="00D12B9A" w:rsidP="00E538B8">
            <w:pPr>
              <w:spacing w:after="0" w:line="240" w:lineRule="auto"/>
            </w:pPr>
            <w:r>
              <w:t>3. intézkedés</w:t>
            </w:r>
          </w:p>
        </w:tc>
      </w:tr>
    </w:tbl>
    <w:p w:rsidR="00CC1FF4" w:rsidRDefault="00CC1FF4" w:rsidP="002450E4">
      <w:pPr>
        <w:rPr>
          <w:b/>
          <w:i/>
          <w:sz w:val="28"/>
          <w:szCs w:val="28"/>
        </w:rPr>
      </w:pPr>
    </w:p>
    <w:p w:rsidR="00CC1FF4" w:rsidRPr="001E388B" w:rsidRDefault="00CC1FF4" w:rsidP="002450E4">
      <w:pPr>
        <w:rPr>
          <w:b/>
          <w:i/>
          <w:sz w:val="24"/>
          <w:szCs w:val="28"/>
        </w:rPr>
      </w:pPr>
      <w:r w:rsidRPr="001E388B">
        <w:rPr>
          <w:b/>
          <w:i/>
          <w:sz w:val="24"/>
          <w:szCs w:val="28"/>
        </w:rPr>
        <w:t>Kapacitás, a megvalósításra vonatkozó kritériumok</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386"/>
        <w:gridCol w:w="4111"/>
        <w:gridCol w:w="2126"/>
      </w:tblGrid>
      <w:tr w:rsidR="00CC1FF4" w:rsidRPr="004608CC" w:rsidTr="004608CC">
        <w:tc>
          <w:tcPr>
            <w:tcW w:w="14459" w:type="dxa"/>
            <w:gridSpan w:val="4"/>
            <w:tcBorders>
              <w:top w:val="nil"/>
              <w:left w:val="nil"/>
              <w:bottom w:val="nil"/>
              <w:right w:val="nil"/>
            </w:tcBorders>
            <w:shd w:val="clear" w:color="auto" w:fill="538135"/>
            <w:vAlign w:val="center"/>
          </w:tcPr>
          <w:p w:rsidR="00CC1FF4" w:rsidRPr="004608CC" w:rsidRDefault="00CC1FF4" w:rsidP="004608CC">
            <w:pPr>
              <w:spacing w:before="60" w:after="60" w:line="240" w:lineRule="auto"/>
              <w:jc w:val="center"/>
              <w:rPr>
                <w:b/>
                <w:i/>
                <w:color w:val="FFFFFF"/>
              </w:rPr>
            </w:pPr>
            <w:r w:rsidRPr="004608CC">
              <w:rPr>
                <w:b/>
                <w:i/>
                <w:color w:val="FFFFFF"/>
                <w:sz w:val="20"/>
                <w:szCs w:val="20"/>
              </w:rPr>
              <w:t xml:space="preserve">A HACS tagságának és döntéshozatalának összetétele </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4608CC">
        <w:tc>
          <w:tcPr>
            <w:tcW w:w="2836" w:type="dxa"/>
          </w:tcPr>
          <w:p w:rsidR="00CC1FF4" w:rsidRPr="004608CC" w:rsidRDefault="00CC1FF4" w:rsidP="004608CC">
            <w:pPr>
              <w:spacing w:after="0" w:line="240" w:lineRule="auto"/>
              <w:rPr>
                <w:sz w:val="20"/>
                <w:szCs w:val="20"/>
              </w:rPr>
            </w:pPr>
            <w:r w:rsidRPr="004608CC">
              <w:rPr>
                <w:sz w:val="20"/>
                <w:szCs w:val="20"/>
              </w:rPr>
              <w:t>A HACS tagsága nyitott, nincs olyan szabály érvényben, ami a csatlakozást megakadályozza.</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A HACS döntéshozása és/vagy a HFS megvalósítása megfelelően reprezentálja a helyi társadalom sokféleségét (</w:t>
            </w:r>
            <w:proofErr w:type="spellStart"/>
            <w:r w:rsidRPr="004608CC">
              <w:rPr>
                <w:sz w:val="20"/>
                <w:szCs w:val="20"/>
              </w:rPr>
              <w:t>pl</w:t>
            </w:r>
            <w:proofErr w:type="spellEnd"/>
            <w:r w:rsidRPr="004608CC">
              <w:rPr>
                <w:sz w:val="20"/>
                <w:szCs w:val="20"/>
              </w:rPr>
              <w:t xml:space="preserve"> a HFS célcsoportjait, a kedvezményezett járásokkal érintett </w:t>
            </w:r>
            <w:proofErr w:type="spellStart"/>
            <w:r w:rsidRPr="004608CC">
              <w:rPr>
                <w:sz w:val="20"/>
                <w:szCs w:val="20"/>
              </w:rPr>
              <w:t>HACS-okban</w:t>
            </w:r>
            <w:proofErr w:type="spellEnd"/>
            <w:r w:rsidRPr="004608CC">
              <w:rPr>
                <w:sz w:val="20"/>
                <w:szCs w:val="20"/>
              </w:rPr>
              <w:t xml:space="preserve"> a hátrányos helyzetű embereket, a térség tipikus vállalkozóit, környezetvédelmi </w:t>
            </w:r>
            <w:proofErr w:type="spellStart"/>
            <w:r w:rsidRPr="004608CC">
              <w:rPr>
                <w:sz w:val="20"/>
                <w:szCs w:val="20"/>
              </w:rPr>
              <w:t>NGO-kat</w:t>
            </w:r>
            <w:proofErr w:type="spellEnd"/>
            <w:r w:rsidRPr="004608CC">
              <w:rPr>
                <w:sz w:val="20"/>
                <w:szCs w:val="20"/>
              </w:rPr>
              <w:t xml:space="preserve">, a fiatalokat, illetve az egyéb speciális társadalmi csoportokat képviselő szervezeteket, stb.) </w:t>
            </w:r>
          </w:p>
        </w:tc>
        <w:tc>
          <w:tcPr>
            <w:tcW w:w="5386" w:type="dxa"/>
          </w:tcPr>
          <w:p w:rsidR="00CC1FF4" w:rsidRDefault="00CC1FF4" w:rsidP="00A94474">
            <w:pPr>
              <w:pStyle w:val="Listaszerbekezds"/>
              <w:numPr>
                <w:ilvl w:val="0"/>
                <w:numId w:val="21"/>
              </w:numPr>
              <w:tabs>
                <w:tab w:val="clear" w:pos="535"/>
                <w:tab w:val="num" w:pos="333"/>
              </w:tabs>
              <w:spacing w:after="0" w:line="240" w:lineRule="auto"/>
              <w:ind w:left="329" w:hanging="357"/>
              <w:jc w:val="both"/>
            </w:pPr>
            <w:r>
              <w:rPr>
                <w:i/>
                <w:sz w:val="20"/>
                <w:szCs w:val="20"/>
              </w:rPr>
              <w:t>A 8.3. fejezet alátámasztja az egyes szektorok megfelelő arányú jelenlétét, az ugyanakkor a Stratégiában nem egyértelmű, hogy a HFS speciális célcsoportjai,</w:t>
            </w:r>
            <w:r w:rsidRPr="00842D16">
              <w:rPr>
                <w:i/>
                <w:sz w:val="20"/>
                <w:szCs w:val="20"/>
              </w:rPr>
              <w:t xml:space="preserve"> </w:t>
            </w:r>
            <w:r>
              <w:rPr>
                <w:i/>
                <w:sz w:val="20"/>
                <w:szCs w:val="20"/>
              </w:rPr>
              <w:t>beleértve a</w:t>
            </w:r>
            <w:r w:rsidRPr="00842D16">
              <w:rPr>
                <w:i/>
                <w:sz w:val="20"/>
                <w:szCs w:val="20"/>
              </w:rPr>
              <w:t xml:space="preserve"> hátrányos helyzetű embereket, </w:t>
            </w:r>
            <w:r w:rsidR="00A94474">
              <w:rPr>
                <w:i/>
                <w:sz w:val="20"/>
                <w:szCs w:val="20"/>
              </w:rPr>
              <w:t>hogyan vannak képviselve a HFS végrehajtásában</w:t>
            </w:r>
            <w:r>
              <w:rPr>
                <w:i/>
                <w:sz w:val="20"/>
                <w:szCs w:val="20"/>
              </w:rPr>
              <w:t>. Javasoljuk a 8.3 fejezetet e területre is kitérve kiegészíteni.</w:t>
            </w:r>
          </w:p>
        </w:tc>
        <w:tc>
          <w:tcPr>
            <w:tcW w:w="4111" w:type="dxa"/>
          </w:tcPr>
          <w:p w:rsidR="00CC1FF4" w:rsidRPr="004608CC" w:rsidRDefault="00F61D89" w:rsidP="00190F13">
            <w:pPr>
              <w:spacing w:after="0" w:line="240" w:lineRule="auto"/>
            </w:pPr>
            <w:r>
              <w:t>Kiegészítésre</w:t>
            </w:r>
            <w:r w:rsidR="00190F13">
              <w:t xml:space="preserve"> került a HFS speciális célcsoportjainak a HFS végrehajtásában</w:t>
            </w:r>
            <w:r>
              <w:t xml:space="preserve"> történő képviseletének a bemutatásával</w:t>
            </w:r>
            <w:r w:rsidR="00190F13">
              <w:t xml:space="preserve">. A HACS tagsága nyílt, bárki szabadon beléphet, az elnökség választott testület, ami nem a célcsoportokhoz való tartozás, hanem a szférákhoz való tartozás alapján történik. Ettől függetlenül az elnökség jól reprezentálja a térség társadalmát a Vállalkozói központtól a Barcs Környéki Munkanélküliekért Alapítványig (BARKA). </w:t>
            </w:r>
          </w:p>
        </w:tc>
        <w:tc>
          <w:tcPr>
            <w:tcW w:w="2126" w:type="dxa"/>
          </w:tcPr>
          <w:p w:rsidR="00D12B9A" w:rsidRDefault="00D12B9A" w:rsidP="004608CC">
            <w:pPr>
              <w:spacing w:after="0" w:line="240" w:lineRule="auto"/>
            </w:pPr>
            <w:r>
              <w:t>43., 45. oldal</w:t>
            </w:r>
          </w:p>
          <w:p w:rsidR="00CC1FF4" w:rsidRPr="004608CC" w:rsidRDefault="00F61D89" w:rsidP="004608CC">
            <w:pPr>
              <w:spacing w:after="0" w:line="240" w:lineRule="auto"/>
            </w:pPr>
            <w:r>
              <w:t>8.3. fejezet</w:t>
            </w:r>
          </w:p>
        </w:tc>
      </w:tr>
      <w:tr w:rsidR="00CC1FF4" w:rsidRPr="004608CC" w:rsidTr="004608CC">
        <w:tc>
          <w:tcPr>
            <w:tcW w:w="2836" w:type="dxa"/>
          </w:tcPr>
          <w:p w:rsidR="00CC1FF4" w:rsidRPr="004608CC" w:rsidRDefault="00CC1FF4" w:rsidP="004608CC">
            <w:pPr>
              <w:spacing w:after="0" w:line="240" w:lineRule="auto"/>
              <w:rPr>
                <w:sz w:val="20"/>
                <w:szCs w:val="20"/>
              </w:rPr>
            </w:pPr>
            <w:r w:rsidRPr="004608CC">
              <w:rPr>
                <w:sz w:val="20"/>
                <w:szCs w:val="20"/>
              </w:rPr>
              <w:t xml:space="preserve">A HACS működését és a projektek kiválasztását érintő döntéshozás (jelen esetben az </w:t>
            </w:r>
            <w:r w:rsidRPr="004608CC">
              <w:rPr>
                <w:sz w:val="20"/>
                <w:szCs w:val="20"/>
              </w:rPr>
              <w:lastRenderedPageBreak/>
              <w:t>elnökség és a helyi bíráló bizottság) átlátható, megkülönböztetés mentes és megfelel az összeférhetetlenség szabályainak.</w:t>
            </w:r>
          </w:p>
        </w:tc>
        <w:tc>
          <w:tcPr>
            <w:tcW w:w="5386" w:type="dxa"/>
          </w:tcPr>
          <w:p w:rsidR="00CC1FF4" w:rsidRPr="004608CC" w:rsidRDefault="00CC1FF4" w:rsidP="004608CC">
            <w:pPr>
              <w:spacing w:after="0" w:line="240" w:lineRule="auto"/>
              <w:ind w:left="34"/>
              <w:rPr>
                <w:i/>
                <w:sz w:val="20"/>
                <w:szCs w:val="20"/>
              </w:rPr>
            </w:pPr>
            <w:r w:rsidRPr="004608CC">
              <w:rPr>
                <w:b/>
                <w:sz w:val="20"/>
                <w:szCs w:val="20"/>
                <w:u w:val="single"/>
              </w:rPr>
              <w:lastRenderedPageBreak/>
              <w:t>jelenleg nem értékelt</w:t>
            </w:r>
          </w:p>
        </w:tc>
        <w:tc>
          <w:tcPr>
            <w:tcW w:w="4111" w:type="dxa"/>
          </w:tcPr>
          <w:p w:rsidR="00CC1FF4" w:rsidRPr="004608CC" w:rsidRDefault="00CC1FF4" w:rsidP="004608CC">
            <w:pPr>
              <w:spacing w:after="0" w:line="240" w:lineRule="auto"/>
            </w:pPr>
          </w:p>
        </w:tc>
        <w:tc>
          <w:tcPr>
            <w:tcW w:w="2126" w:type="dxa"/>
          </w:tcPr>
          <w:p w:rsidR="00CC1FF4" w:rsidRPr="004608CC" w:rsidRDefault="00CC1FF4" w:rsidP="004608CC">
            <w:pPr>
              <w:spacing w:after="0" w:line="240" w:lineRule="auto"/>
            </w:pPr>
          </w:p>
        </w:tc>
      </w:tr>
      <w:tr w:rsidR="00CC1FF4" w:rsidRPr="004608CC" w:rsidTr="004608CC">
        <w:tc>
          <w:tcPr>
            <w:tcW w:w="2836" w:type="dxa"/>
            <w:tcBorders>
              <w:bottom w:val="nil"/>
            </w:tcBorders>
          </w:tcPr>
          <w:p w:rsidR="00CC1FF4" w:rsidRPr="004608CC" w:rsidRDefault="00CC1FF4" w:rsidP="004608CC">
            <w:pPr>
              <w:spacing w:after="0" w:line="240" w:lineRule="auto"/>
              <w:rPr>
                <w:sz w:val="20"/>
                <w:szCs w:val="20"/>
              </w:rPr>
            </w:pPr>
            <w:r w:rsidRPr="004608CC">
              <w:rPr>
                <w:sz w:val="20"/>
                <w:szCs w:val="20"/>
              </w:rPr>
              <w:t>A munkafolyamatok és a felelősségi körök egyértelműek és átláthatók.</w:t>
            </w:r>
          </w:p>
        </w:tc>
        <w:tc>
          <w:tcPr>
            <w:tcW w:w="5386" w:type="dxa"/>
            <w:tcBorders>
              <w:bottom w:val="nil"/>
            </w:tcBorders>
          </w:tcPr>
          <w:p w:rsidR="00CC1FF4" w:rsidRPr="004608CC" w:rsidRDefault="00CC1FF4" w:rsidP="004608CC">
            <w:pPr>
              <w:spacing w:after="0" w:line="240" w:lineRule="auto"/>
              <w:ind w:left="360"/>
              <w:rPr>
                <w:i/>
                <w:sz w:val="20"/>
                <w:szCs w:val="20"/>
              </w:rPr>
            </w:pPr>
          </w:p>
        </w:tc>
        <w:tc>
          <w:tcPr>
            <w:tcW w:w="4111" w:type="dxa"/>
            <w:tcBorders>
              <w:bottom w:val="nil"/>
            </w:tcBorders>
          </w:tcPr>
          <w:p w:rsidR="00CC1FF4" w:rsidRPr="004608CC" w:rsidRDefault="00CC1FF4" w:rsidP="004608CC">
            <w:pPr>
              <w:spacing w:after="0" w:line="240" w:lineRule="auto"/>
            </w:pPr>
          </w:p>
        </w:tc>
        <w:tc>
          <w:tcPr>
            <w:tcW w:w="2126" w:type="dxa"/>
            <w:tcBorders>
              <w:bottom w:val="nil"/>
            </w:tcBorders>
          </w:tcPr>
          <w:p w:rsidR="00CC1FF4" w:rsidRPr="004608CC" w:rsidRDefault="00CC1FF4" w:rsidP="004608CC">
            <w:pPr>
              <w:spacing w:after="0" w:line="240" w:lineRule="auto"/>
            </w:pPr>
          </w:p>
        </w:tc>
      </w:tr>
      <w:tr w:rsidR="00CC1FF4" w:rsidRPr="004608CC" w:rsidTr="004608CC">
        <w:tc>
          <w:tcPr>
            <w:tcW w:w="14459" w:type="dxa"/>
            <w:gridSpan w:val="4"/>
            <w:tcBorders>
              <w:top w:val="nil"/>
              <w:left w:val="nil"/>
              <w:bottom w:val="nil"/>
              <w:right w:val="nil"/>
            </w:tcBorders>
            <w:shd w:val="clear" w:color="auto" w:fill="538135"/>
            <w:vAlign w:val="center"/>
          </w:tcPr>
          <w:p w:rsidR="00CC1FF4" w:rsidRPr="004608CC" w:rsidRDefault="00CC1FF4" w:rsidP="004608CC">
            <w:pPr>
              <w:spacing w:before="60" w:after="60" w:line="240" w:lineRule="auto"/>
              <w:jc w:val="center"/>
              <w:rPr>
                <w:b/>
                <w:i/>
                <w:color w:val="FFFFFF"/>
              </w:rPr>
            </w:pPr>
            <w:r w:rsidRPr="004608CC">
              <w:rPr>
                <w:b/>
                <w:i/>
                <w:color w:val="FFFFFF"/>
                <w:sz w:val="20"/>
                <w:szCs w:val="20"/>
              </w:rPr>
              <w:t>A HFS megvalósításához szükséges humán erőforrások rendelkezésre állása</w:t>
            </w:r>
          </w:p>
        </w:tc>
      </w:tr>
      <w:tr w:rsidR="00CC1FF4" w:rsidRPr="004608CC" w:rsidTr="004608CC">
        <w:tc>
          <w:tcPr>
            <w:tcW w:w="2836"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Minősítő kritérium</w:t>
            </w:r>
          </w:p>
        </w:tc>
        <w:tc>
          <w:tcPr>
            <w:tcW w:w="538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Észrevételek, javaslatok</w:t>
            </w:r>
          </w:p>
        </w:tc>
        <w:tc>
          <w:tcPr>
            <w:tcW w:w="4111" w:type="dxa"/>
            <w:tcBorders>
              <w:top w:val="nil"/>
            </w:tcBorders>
            <w:vAlign w:val="center"/>
          </w:tcPr>
          <w:p w:rsidR="00CC1FF4" w:rsidRPr="004608CC" w:rsidRDefault="00CC1FF4" w:rsidP="004608CC">
            <w:pPr>
              <w:spacing w:after="0" w:line="240" w:lineRule="auto"/>
              <w:rPr>
                <w:color w:val="538135"/>
                <w:sz w:val="20"/>
                <w:szCs w:val="20"/>
              </w:rPr>
            </w:pPr>
            <w:r w:rsidRPr="004608CC">
              <w:rPr>
                <w:b/>
                <w:color w:val="538135"/>
                <w:sz w:val="20"/>
                <w:szCs w:val="20"/>
              </w:rPr>
              <w:t>Tervezői válaszok</w:t>
            </w:r>
          </w:p>
        </w:tc>
        <w:tc>
          <w:tcPr>
            <w:tcW w:w="2126" w:type="dxa"/>
            <w:tcBorders>
              <w:top w:val="nil"/>
            </w:tcBorders>
            <w:vAlign w:val="center"/>
          </w:tcPr>
          <w:p w:rsidR="00CC1FF4" w:rsidRPr="004608CC" w:rsidRDefault="00CC1FF4" w:rsidP="004608CC">
            <w:pPr>
              <w:spacing w:after="0" w:line="240" w:lineRule="auto"/>
              <w:rPr>
                <w:b/>
                <w:color w:val="538135"/>
                <w:sz w:val="20"/>
                <w:szCs w:val="20"/>
              </w:rPr>
            </w:pPr>
            <w:r w:rsidRPr="004608CC">
              <w:rPr>
                <w:b/>
                <w:color w:val="538135"/>
                <w:sz w:val="20"/>
                <w:szCs w:val="20"/>
              </w:rPr>
              <w:t xml:space="preserve">Módosítások helye </w:t>
            </w:r>
          </w:p>
        </w:tc>
      </w:tr>
      <w:tr w:rsidR="00CC1FF4" w:rsidRPr="004608CC" w:rsidTr="004608CC">
        <w:trPr>
          <w:trHeight w:val="5371"/>
        </w:trPr>
        <w:tc>
          <w:tcPr>
            <w:tcW w:w="2836" w:type="dxa"/>
          </w:tcPr>
          <w:p w:rsidR="00CC1FF4" w:rsidRPr="004608CC" w:rsidRDefault="00CC1FF4" w:rsidP="004608CC">
            <w:pPr>
              <w:spacing w:after="0" w:line="240" w:lineRule="auto"/>
              <w:rPr>
                <w:sz w:val="20"/>
                <w:szCs w:val="20"/>
              </w:rPr>
            </w:pPr>
            <w:r w:rsidRPr="004608CC">
              <w:rPr>
                <w:sz w:val="20"/>
                <w:szCs w:val="20"/>
              </w:rPr>
              <w:t>A HACS rendelkezik irányítási, közpénzek kezelése és pénzügyi tapasztalatokkal és kapacitással</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 xml:space="preserve">A HACS rendelkezik projektfejlesztő és </w:t>
            </w:r>
            <w:proofErr w:type="spellStart"/>
            <w:r w:rsidRPr="004608CC">
              <w:rPr>
                <w:sz w:val="20"/>
                <w:szCs w:val="20"/>
              </w:rPr>
              <w:t>-management</w:t>
            </w:r>
            <w:proofErr w:type="spellEnd"/>
            <w:r w:rsidRPr="004608CC">
              <w:rPr>
                <w:sz w:val="20"/>
                <w:szCs w:val="20"/>
              </w:rPr>
              <w:t xml:space="preserve"> tapasztalatokkal, kapacitással</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A HACS rendelkezik a helyi lakosság, a különböző lakossági csoportok és szereplők aktivizálására és a fejlesztési tevékenységekbe történő bevonására alkalmas animációs tapasztalatokkal és kapacitással</w:t>
            </w:r>
          </w:p>
          <w:p w:rsidR="00CC1FF4" w:rsidRPr="004608CC" w:rsidRDefault="00CC1FF4" w:rsidP="004608CC">
            <w:pPr>
              <w:spacing w:after="0" w:line="240" w:lineRule="auto"/>
              <w:rPr>
                <w:sz w:val="20"/>
                <w:szCs w:val="20"/>
              </w:rPr>
            </w:pPr>
          </w:p>
          <w:p w:rsidR="00CC1FF4" w:rsidRPr="004608CC" w:rsidRDefault="00CC1FF4" w:rsidP="004608CC">
            <w:pPr>
              <w:spacing w:after="0" w:line="240" w:lineRule="auto"/>
              <w:rPr>
                <w:sz w:val="20"/>
                <w:szCs w:val="20"/>
              </w:rPr>
            </w:pPr>
            <w:r w:rsidRPr="004608CC">
              <w:rPr>
                <w:sz w:val="20"/>
                <w:szCs w:val="20"/>
              </w:rPr>
              <w:t>Legalább egy külön bejáratú iroda, legalább 2 db állandó munkaállomás (számítógép, telefon, internet) rendelkezésre áll.</w:t>
            </w:r>
          </w:p>
        </w:tc>
        <w:tc>
          <w:tcPr>
            <w:tcW w:w="5386" w:type="dxa"/>
          </w:tcPr>
          <w:p w:rsidR="00CC1FF4" w:rsidRPr="004608CC" w:rsidRDefault="00CC1FF4" w:rsidP="001E37D6">
            <w:pPr>
              <w:pStyle w:val="Listaszerbekezds"/>
              <w:spacing w:after="0" w:line="240" w:lineRule="auto"/>
              <w:ind w:left="0"/>
              <w:jc w:val="both"/>
              <w:rPr>
                <w:i/>
                <w:sz w:val="20"/>
                <w:szCs w:val="20"/>
              </w:rPr>
            </w:pPr>
          </w:p>
        </w:tc>
        <w:tc>
          <w:tcPr>
            <w:tcW w:w="4111" w:type="dxa"/>
          </w:tcPr>
          <w:p w:rsidR="00CC1FF4" w:rsidRPr="004608CC" w:rsidRDefault="00CC1FF4" w:rsidP="004608CC">
            <w:pPr>
              <w:spacing w:after="0" w:line="240" w:lineRule="auto"/>
            </w:pPr>
          </w:p>
        </w:tc>
        <w:tc>
          <w:tcPr>
            <w:tcW w:w="2126" w:type="dxa"/>
          </w:tcPr>
          <w:p w:rsidR="00CC1FF4" w:rsidRPr="004608CC" w:rsidRDefault="00CC1FF4" w:rsidP="004608CC">
            <w:pPr>
              <w:spacing w:after="0" w:line="240" w:lineRule="auto"/>
            </w:pPr>
          </w:p>
        </w:tc>
      </w:tr>
    </w:tbl>
    <w:p w:rsidR="00CC1FF4" w:rsidRDefault="00CC1FF4" w:rsidP="002450E4"/>
    <w:sectPr w:rsidR="00CC1FF4" w:rsidSect="00BB1867">
      <w:footerReference w:type="default" r:id="rId8"/>
      <w:pgSz w:w="16838" w:h="11906" w:orient="landscape"/>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69" w:rsidRDefault="003E1669" w:rsidP="00410ABA">
      <w:pPr>
        <w:spacing w:after="0" w:line="240" w:lineRule="auto"/>
      </w:pPr>
      <w:r>
        <w:separator/>
      </w:r>
    </w:p>
  </w:endnote>
  <w:endnote w:type="continuationSeparator" w:id="0">
    <w:p w:rsidR="003E1669" w:rsidRDefault="003E1669" w:rsidP="0041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F4" w:rsidRDefault="00381DE5">
    <w:pPr>
      <w:pStyle w:val="llb"/>
      <w:jc w:val="center"/>
    </w:pPr>
    <w:r>
      <w:fldChar w:fldCharType="begin"/>
    </w:r>
    <w:r>
      <w:instrText>PAGE   \* MERGEFORMAT</w:instrText>
    </w:r>
    <w:r>
      <w:fldChar w:fldCharType="separate"/>
    </w:r>
    <w:r w:rsidR="00506730">
      <w:rPr>
        <w:noProof/>
      </w:rPr>
      <w:t>13</w:t>
    </w:r>
    <w:r>
      <w:rPr>
        <w:noProof/>
      </w:rPr>
      <w:fldChar w:fldCharType="end"/>
    </w:r>
  </w:p>
  <w:p w:rsidR="00CC1FF4" w:rsidRDefault="00CC1F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69" w:rsidRDefault="003E1669" w:rsidP="00410ABA">
      <w:pPr>
        <w:spacing w:after="0" w:line="240" w:lineRule="auto"/>
      </w:pPr>
      <w:r>
        <w:separator/>
      </w:r>
    </w:p>
  </w:footnote>
  <w:footnote w:type="continuationSeparator" w:id="0">
    <w:p w:rsidR="003E1669" w:rsidRDefault="003E1669" w:rsidP="00410ABA">
      <w:pPr>
        <w:spacing w:after="0" w:line="240" w:lineRule="auto"/>
      </w:pPr>
      <w:r>
        <w:continuationSeparator/>
      </w:r>
    </w:p>
  </w:footnote>
  <w:footnote w:id="1">
    <w:p w:rsidR="00CC1FF4" w:rsidRDefault="00CC1FF4" w:rsidP="002450E4">
      <w:r>
        <w:rPr>
          <w:rStyle w:val="Lbjegyzet-hivatkozs"/>
        </w:rPr>
        <w:footnoteRef/>
      </w:r>
      <w:r>
        <w:t xml:space="preserve"> </w:t>
      </w:r>
      <w:r w:rsidRPr="002450E4">
        <w:rPr>
          <w:sz w:val="20"/>
          <w:szCs w:val="20"/>
        </w:rPr>
        <w:t>Módosítások helye a dokumentumban (fejezet, oldalszám)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8D4"/>
    <w:multiLevelType w:val="hybridMultilevel"/>
    <w:tmpl w:val="560C8F8E"/>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 w15:restartNumberingAfterBreak="0">
    <w:nsid w:val="09F47DA7"/>
    <w:multiLevelType w:val="hybridMultilevel"/>
    <w:tmpl w:val="3D6CC258"/>
    <w:lvl w:ilvl="0" w:tplc="DDA0D9F6">
      <w:start w:val="1"/>
      <w:numFmt w:val="decimal"/>
      <w:lvlText w:val="%1."/>
      <w:lvlJc w:val="left"/>
      <w:pPr>
        <w:ind w:left="677" w:hanging="360"/>
      </w:pPr>
      <w:rPr>
        <w:rFonts w:cs="Times New Roman" w:hint="default"/>
      </w:rPr>
    </w:lvl>
    <w:lvl w:ilvl="1" w:tplc="040E0019" w:tentative="1">
      <w:start w:val="1"/>
      <w:numFmt w:val="lowerLetter"/>
      <w:lvlText w:val="%2."/>
      <w:lvlJc w:val="left"/>
      <w:pPr>
        <w:ind w:left="1397" w:hanging="360"/>
      </w:pPr>
      <w:rPr>
        <w:rFonts w:cs="Times New Roman"/>
      </w:rPr>
    </w:lvl>
    <w:lvl w:ilvl="2" w:tplc="040E001B" w:tentative="1">
      <w:start w:val="1"/>
      <w:numFmt w:val="lowerRoman"/>
      <w:lvlText w:val="%3."/>
      <w:lvlJc w:val="right"/>
      <w:pPr>
        <w:ind w:left="2117" w:hanging="180"/>
      </w:pPr>
      <w:rPr>
        <w:rFonts w:cs="Times New Roman"/>
      </w:rPr>
    </w:lvl>
    <w:lvl w:ilvl="3" w:tplc="040E000F" w:tentative="1">
      <w:start w:val="1"/>
      <w:numFmt w:val="decimal"/>
      <w:lvlText w:val="%4."/>
      <w:lvlJc w:val="left"/>
      <w:pPr>
        <w:ind w:left="2837" w:hanging="360"/>
      </w:pPr>
      <w:rPr>
        <w:rFonts w:cs="Times New Roman"/>
      </w:rPr>
    </w:lvl>
    <w:lvl w:ilvl="4" w:tplc="040E0019" w:tentative="1">
      <w:start w:val="1"/>
      <w:numFmt w:val="lowerLetter"/>
      <w:lvlText w:val="%5."/>
      <w:lvlJc w:val="left"/>
      <w:pPr>
        <w:ind w:left="3557" w:hanging="360"/>
      </w:pPr>
      <w:rPr>
        <w:rFonts w:cs="Times New Roman"/>
      </w:rPr>
    </w:lvl>
    <w:lvl w:ilvl="5" w:tplc="040E001B" w:tentative="1">
      <w:start w:val="1"/>
      <w:numFmt w:val="lowerRoman"/>
      <w:lvlText w:val="%6."/>
      <w:lvlJc w:val="right"/>
      <w:pPr>
        <w:ind w:left="4277" w:hanging="180"/>
      </w:pPr>
      <w:rPr>
        <w:rFonts w:cs="Times New Roman"/>
      </w:rPr>
    </w:lvl>
    <w:lvl w:ilvl="6" w:tplc="040E000F" w:tentative="1">
      <w:start w:val="1"/>
      <w:numFmt w:val="decimal"/>
      <w:lvlText w:val="%7."/>
      <w:lvlJc w:val="left"/>
      <w:pPr>
        <w:ind w:left="4997" w:hanging="360"/>
      </w:pPr>
      <w:rPr>
        <w:rFonts w:cs="Times New Roman"/>
      </w:rPr>
    </w:lvl>
    <w:lvl w:ilvl="7" w:tplc="040E0019" w:tentative="1">
      <w:start w:val="1"/>
      <w:numFmt w:val="lowerLetter"/>
      <w:lvlText w:val="%8."/>
      <w:lvlJc w:val="left"/>
      <w:pPr>
        <w:ind w:left="5717" w:hanging="360"/>
      </w:pPr>
      <w:rPr>
        <w:rFonts w:cs="Times New Roman"/>
      </w:rPr>
    </w:lvl>
    <w:lvl w:ilvl="8" w:tplc="040E001B" w:tentative="1">
      <w:start w:val="1"/>
      <w:numFmt w:val="lowerRoman"/>
      <w:lvlText w:val="%9."/>
      <w:lvlJc w:val="right"/>
      <w:pPr>
        <w:ind w:left="6437" w:hanging="180"/>
      </w:pPr>
      <w:rPr>
        <w:rFonts w:cs="Times New Roman"/>
      </w:rPr>
    </w:lvl>
  </w:abstractNum>
  <w:abstractNum w:abstractNumId="2" w15:restartNumberingAfterBreak="0">
    <w:nsid w:val="0BE05246"/>
    <w:multiLevelType w:val="hybridMultilevel"/>
    <w:tmpl w:val="01BABD44"/>
    <w:lvl w:ilvl="0" w:tplc="7A48977C">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 w15:restartNumberingAfterBreak="0">
    <w:nsid w:val="0F696637"/>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abstractNum w:abstractNumId="4" w15:restartNumberingAfterBreak="0">
    <w:nsid w:val="15EE05DD"/>
    <w:multiLevelType w:val="hybridMultilevel"/>
    <w:tmpl w:val="7B46D39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9853D81"/>
    <w:multiLevelType w:val="hybridMultilevel"/>
    <w:tmpl w:val="6734D700"/>
    <w:lvl w:ilvl="0" w:tplc="966ACCDA">
      <w:start w:val="2016"/>
      <w:numFmt w:val="bullet"/>
      <w:lvlText w:val="-"/>
      <w:lvlJc w:val="left"/>
      <w:pPr>
        <w:ind w:left="535" w:hanging="360"/>
      </w:pPr>
      <w:rPr>
        <w:rFonts w:ascii="Calibri" w:eastAsia="Times New Roman" w:hAnsi="Calibri" w:hint="default"/>
      </w:rPr>
    </w:lvl>
    <w:lvl w:ilvl="1" w:tplc="040E0003" w:tentative="1">
      <w:start w:val="1"/>
      <w:numFmt w:val="bullet"/>
      <w:lvlText w:val="o"/>
      <w:lvlJc w:val="left"/>
      <w:pPr>
        <w:ind w:left="1255" w:hanging="360"/>
      </w:pPr>
      <w:rPr>
        <w:rFonts w:ascii="Courier New" w:hAnsi="Courier New" w:hint="default"/>
      </w:rPr>
    </w:lvl>
    <w:lvl w:ilvl="2" w:tplc="040E0005" w:tentative="1">
      <w:start w:val="1"/>
      <w:numFmt w:val="bullet"/>
      <w:lvlText w:val=""/>
      <w:lvlJc w:val="left"/>
      <w:pPr>
        <w:ind w:left="1975" w:hanging="360"/>
      </w:pPr>
      <w:rPr>
        <w:rFonts w:ascii="Wingdings" w:hAnsi="Wingdings" w:hint="default"/>
      </w:rPr>
    </w:lvl>
    <w:lvl w:ilvl="3" w:tplc="040E0001" w:tentative="1">
      <w:start w:val="1"/>
      <w:numFmt w:val="bullet"/>
      <w:lvlText w:val=""/>
      <w:lvlJc w:val="left"/>
      <w:pPr>
        <w:ind w:left="2695" w:hanging="360"/>
      </w:pPr>
      <w:rPr>
        <w:rFonts w:ascii="Symbol" w:hAnsi="Symbol" w:hint="default"/>
      </w:rPr>
    </w:lvl>
    <w:lvl w:ilvl="4" w:tplc="040E0003" w:tentative="1">
      <w:start w:val="1"/>
      <w:numFmt w:val="bullet"/>
      <w:lvlText w:val="o"/>
      <w:lvlJc w:val="left"/>
      <w:pPr>
        <w:ind w:left="3415" w:hanging="360"/>
      </w:pPr>
      <w:rPr>
        <w:rFonts w:ascii="Courier New" w:hAnsi="Courier New" w:hint="default"/>
      </w:rPr>
    </w:lvl>
    <w:lvl w:ilvl="5" w:tplc="040E0005" w:tentative="1">
      <w:start w:val="1"/>
      <w:numFmt w:val="bullet"/>
      <w:lvlText w:val=""/>
      <w:lvlJc w:val="left"/>
      <w:pPr>
        <w:ind w:left="4135" w:hanging="360"/>
      </w:pPr>
      <w:rPr>
        <w:rFonts w:ascii="Wingdings" w:hAnsi="Wingdings" w:hint="default"/>
      </w:rPr>
    </w:lvl>
    <w:lvl w:ilvl="6" w:tplc="040E0001" w:tentative="1">
      <w:start w:val="1"/>
      <w:numFmt w:val="bullet"/>
      <w:lvlText w:val=""/>
      <w:lvlJc w:val="left"/>
      <w:pPr>
        <w:ind w:left="4855" w:hanging="360"/>
      </w:pPr>
      <w:rPr>
        <w:rFonts w:ascii="Symbol" w:hAnsi="Symbol" w:hint="default"/>
      </w:rPr>
    </w:lvl>
    <w:lvl w:ilvl="7" w:tplc="040E0003" w:tentative="1">
      <w:start w:val="1"/>
      <w:numFmt w:val="bullet"/>
      <w:lvlText w:val="o"/>
      <w:lvlJc w:val="left"/>
      <w:pPr>
        <w:ind w:left="5575" w:hanging="360"/>
      </w:pPr>
      <w:rPr>
        <w:rFonts w:ascii="Courier New" w:hAnsi="Courier New" w:hint="default"/>
      </w:rPr>
    </w:lvl>
    <w:lvl w:ilvl="8" w:tplc="040E0005" w:tentative="1">
      <w:start w:val="1"/>
      <w:numFmt w:val="bullet"/>
      <w:lvlText w:val=""/>
      <w:lvlJc w:val="left"/>
      <w:pPr>
        <w:ind w:left="6295" w:hanging="360"/>
      </w:pPr>
      <w:rPr>
        <w:rFonts w:ascii="Wingdings" w:hAnsi="Wingdings" w:hint="default"/>
      </w:rPr>
    </w:lvl>
  </w:abstractNum>
  <w:abstractNum w:abstractNumId="6" w15:restartNumberingAfterBreak="0">
    <w:nsid w:val="1B3B50B5"/>
    <w:multiLevelType w:val="hybridMultilevel"/>
    <w:tmpl w:val="909E818A"/>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4993909"/>
    <w:multiLevelType w:val="hybridMultilevel"/>
    <w:tmpl w:val="245E9CE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7E07946"/>
    <w:multiLevelType w:val="hybridMultilevel"/>
    <w:tmpl w:val="A30230F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B8E283A"/>
    <w:multiLevelType w:val="hybridMultilevel"/>
    <w:tmpl w:val="59B4AF18"/>
    <w:lvl w:ilvl="0" w:tplc="21DA1F34">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0" w15:restartNumberingAfterBreak="0">
    <w:nsid w:val="3BC53CE8"/>
    <w:multiLevelType w:val="hybridMultilevel"/>
    <w:tmpl w:val="93688D88"/>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1" w15:restartNumberingAfterBreak="0">
    <w:nsid w:val="491E577E"/>
    <w:multiLevelType w:val="hybridMultilevel"/>
    <w:tmpl w:val="C7267D5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DF5116"/>
    <w:multiLevelType w:val="hybridMultilevel"/>
    <w:tmpl w:val="D90662D8"/>
    <w:lvl w:ilvl="0" w:tplc="DDA0D9F6">
      <w:start w:val="1"/>
      <w:numFmt w:val="decimal"/>
      <w:lvlText w:val="%1."/>
      <w:lvlJc w:val="left"/>
      <w:pPr>
        <w:ind w:left="360" w:hanging="360"/>
      </w:pPr>
      <w:rPr>
        <w:rFonts w:cs="Times New Roman" w:hint="default"/>
      </w:rPr>
    </w:lvl>
    <w:lvl w:ilvl="1" w:tplc="040E0019">
      <w:start w:val="1"/>
      <w:numFmt w:val="lowerLetter"/>
      <w:lvlText w:val="%2."/>
      <w:lvlJc w:val="left"/>
      <w:pPr>
        <w:ind w:left="1123" w:hanging="360"/>
      </w:pPr>
      <w:rPr>
        <w:rFonts w:cs="Times New Roman"/>
      </w:rPr>
    </w:lvl>
    <w:lvl w:ilvl="2" w:tplc="040E001B" w:tentative="1">
      <w:start w:val="1"/>
      <w:numFmt w:val="lowerRoman"/>
      <w:lvlText w:val="%3."/>
      <w:lvlJc w:val="right"/>
      <w:pPr>
        <w:ind w:left="1843" w:hanging="180"/>
      </w:pPr>
      <w:rPr>
        <w:rFonts w:cs="Times New Roman"/>
      </w:rPr>
    </w:lvl>
    <w:lvl w:ilvl="3" w:tplc="040E000F" w:tentative="1">
      <w:start w:val="1"/>
      <w:numFmt w:val="decimal"/>
      <w:lvlText w:val="%4."/>
      <w:lvlJc w:val="left"/>
      <w:pPr>
        <w:ind w:left="2563" w:hanging="360"/>
      </w:pPr>
      <w:rPr>
        <w:rFonts w:cs="Times New Roman"/>
      </w:rPr>
    </w:lvl>
    <w:lvl w:ilvl="4" w:tplc="040E0019" w:tentative="1">
      <w:start w:val="1"/>
      <w:numFmt w:val="lowerLetter"/>
      <w:lvlText w:val="%5."/>
      <w:lvlJc w:val="left"/>
      <w:pPr>
        <w:ind w:left="3283" w:hanging="360"/>
      </w:pPr>
      <w:rPr>
        <w:rFonts w:cs="Times New Roman"/>
      </w:rPr>
    </w:lvl>
    <w:lvl w:ilvl="5" w:tplc="040E001B" w:tentative="1">
      <w:start w:val="1"/>
      <w:numFmt w:val="lowerRoman"/>
      <w:lvlText w:val="%6."/>
      <w:lvlJc w:val="right"/>
      <w:pPr>
        <w:ind w:left="4003" w:hanging="180"/>
      </w:pPr>
      <w:rPr>
        <w:rFonts w:cs="Times New Roman"/>
      </w:rPr>
    </w:lvl>
    <w:lvl w:ilvl="6" w:tplc="040E000F" w:tentative="1">
      <w:start w:val="1"/>
      <w:numFmt w:val="decimal"/>
      <w:lvlText w:val="%7."/>
      <w:lvlJc w:val="left"/>
      <w:pPr>
        <w:ind w:left="4723" w:hanging="360"/>
      </w:pPr>
      <w:rPr>
        <w:rFonts w:cs="Times New Roman"/>
      </w:rPr>
    </w:lvl>
    <w:lvl w:ilvl="7" w:tplc="040E0019" w:tentative="1">
      <w:start w:val="1"/>
      <w:numFmt w:val="lowerLetter"/>
      <w:lvlText w:val="%8."/>
      <w:lvlJc w:val="left"/>
      <w:pPr>
        <w:ind w:left="5443" w:hanging="360"/>
      </w:pPr>
      <w:rPr>
        <w:rFonts w:cs="Times New Roman"/>
      </w:rPr>
    </w:lvl>
    <w:lvl w:ilvl="8" w:tplc="040E001B" w:tentative="1">
      <w:start w:val="1"/>
      <w:numFmt w:val="lowerRoman"/>
      <w:lvlText w:val="%9."/>
      <w:lvlJc w:val="right"/>
      <w:pPr>
        <w:ind w:left="6163" w:hanging="180"/>
      </w:pPr>
      <w:rPr>
        <w:rFonts w:cs="Times New Roman"/>
      </w:rPr>
    </w:lvl>
  </w:abstractNum>
  <w:abstractNum w:abstractNumId="13" w15:restartNumberingAfterBreak="0">
    <w:nsid w:val="4F953F27"/>
    <w:multiLevelType w:val="hybridMultilevel"/>
    <w:tmpl w:val="3B3A9A8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50692276"/>
    <w:multiLevelType w:val="hybridMultilevel"/>
    <w:tmpl w:val="AF5846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60393FA3"/>
    <w:multiLevelType w:val="hybridMultilevel"/>
    <w:tmpl w:val="C7267D5C"/>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26B6C58"/>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abstractNum w:abstractNumId="17" w15:restartNumberingAfterBreak="0">
    <w:nsid w:val="7276607E"/>
    <w:multiLevelType w:val="hybridMultilevel"/>
    <w:tmpl w:val="0CA0B59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74B10C0E"/>
    <w:multiLevelType w:val="hybridMultilevel"/>
    <w:tmpl w:val="30D49928"/>
    <w:lvl w:ilvl="0" w:tplc="040E000F">
      <w:start w:val="1"/>
      <w:numFmt w:val="decimal"/>
      <w:lvlText w:val="%1."/>
      <w:lvlJc w:val="left"/>
      <w:pPr>
        <w:tabs>
          <w:tab w:val="num" w:pos="535"/>
        </w:tabs>
        <w:ind w:left="535" w:hanging="360"/>
      </w:pPr>
      <w:rPr>
        <w:rFonts w:cs="Times New Roman" w:hint="default"/>
      </w:rPr>
    </w:lvl>
    <w:lvl w:ilvl="1" w:tplc="040E0003" w:tentative="1">
      <w:start w:val="1"/>
      <w:numFmt w:val="bullet"/>
      <w:lvlText w:val="o"/>
      <w:lvlJc w:val="left"/>
      <w:pPr>
        <w:ind w:left="1255" w:hanging="360"/>
      </w:pPr>
      <w:rPr>
        <w:rFonts w:ascii="Courier New" w:hAnsi="Courier New" w:hint="default"/>
      </w:rPr>
    </w:lvl>
    <w:lvl w:ilvl="2" w:tplc="040E0005" w:tentative="1">
      <w:start w:val="1"/>
      <w:numFmt w:val="bullet"/>
      <w:lvlText w:val=""/>
      <w:lvlJc w:val="left"/>
      <w:pPr>
        <w:ind w:left="1975" w:hanging="360"/>
      </w:pPr>
      <w:rPr>
        <w:rFonts w:ascii="Wingdings" w:hAnsi="Wingdings" w:hint="default"/>
      </w:rPr>
    </w:lvl>
    <w:lvl w:ilvl="3" w:tplc="040E0001" w:tentative="1">
      <w:start w:val="1"/>
      <w:numFmt w:val="bullet"/>
      <w:lvlText w:val=""/>
      <w:lvlJc w:val="left"/>
      <w:pPr>
        <w:ind w:left="2695" w:hanging="360"/>
      </w:pPr>
      <w:rPr>
        <w:rFonts w:ascii="Symbol" w:hAnsi="Symbol" w:hint="default"/>
      </w:rPr>
    </w:lvl>
    <w:lvl w:ilvl="4" w:tplc="040E0003" w:tentative="1">
      <w:start w:val="1"/>
      <w:numFmt w:val="bullet"/>
      <w:lvlText w:val="o"/>
      <w:lvlJc w:val="left"/>
      <w:pPr>
        <w:ind w:left="3415" w:hanging="360"/>
      </w:pPr>
      <w:rPr>
        <w:rFonts w:ascii="Courier New" w:hAnsi="Courier New" w:hint="default"/>
      </w:rPr>
    </w:lvl>
    <w:lvl w:ilvl="5" w:tplc="040E0005" w:tentative="1">
      <w:start w:val="1"/>
      <w:numFmt w:val="bullet"/>
      <w:lvlText w:val=""/>
      <w:lvlJc w:val="left"/>
      <w:pPr>
        <w:ind w:left="4135" w:hanging="360"/>
      </w:pPr>
      <w:rPr>
        <w:rFonts w:ascii="Wingdings" w:hAnsi="Wingdings" w:hint="default"/>
      </w:rPr>
    </w:lvl>
    <w:lvl w:ilvl="6" w:tplc="040E0001" w:tentative="1">
      <w:start w:val="1"/>
      <w:numFmt w:val="bullet"/>
      <w:lvlText w:val=""/>
      <w:lvlJc w:val="left"/>
      <w:pPr>
        <w:ind w:left="4855" w:hanging="360"/>
      </w:pPr>
      <w:rPr>
        <w:rFonts w:ascii="Symbol" w:hAnsi="Symbol" w:hint="default"/>
      </w:rPr>
    </w:lvl>
    <w:lvl w:ilvl="7" w:tplc="040E0003" w:tentative="1">
      <w:start w:val="1"/>
      <w:numFmt w:val="bullet"/>
      <w:lvlText w:val="o"/>
      <w:lvlJc w:val="left"/>
      <w:pPr>
        <w:ind w:left="5575" w:hanging="360"/>
      </w:pPr>
      <w:rPr>
        <w:rFonts w:ascii="Courier New" w:hAnsi="Courier New" w:hint="default"/>
      </w:rPr>
    </w:lvl>
    <w:lvl w:ilvl="8" w:tplc="040E0005" w:tentative="1">
      <w:start w:val="1"/>
      <w:numFmt w:val="bullet"/>
      <w:lvlText w:val=""/>
      <w:lvlJc w:val="left"/>
      <w:pPr>
        <w:ind w:left="6295" w:hanging="360"/>
      </w:pPr>
      <w:rPr>
        <w:rFonts w:ascii="Wingdings" w:hAnsi="Wingdings" w:hint="default"/>
      </w:rPr>
    </w:lvl>
  </w:abstractNum>
  <w:abstractNum w:abstractNumId="19" w15:restartNumberingAfterBreak="0">
    <w:nsid w:val="7D8D4D7A"/>
    <w:multiLevelType w:val="hybridMultilevel"/>
    <w:tmpl w:val="1F80C30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7F3437AD"/>
    <w:multiLevelType w:val="hybridMultilevel"/>
    <w:tmpl w:val="FF18D5FC"/>
    <w:lvl w:ilvl="0" w:tplc="82EC11E0">
      <w:start w:val="1"/>
      <w:numFmt w:val="decimal"/>
      <w:lvlText w:val="%1."/>
      <w:lvlJc w:val="left"/>
      <w:pPr>
        <w:ind w:left="895" w:hanging="360"/>
      </w:pPr>
      <w:rPr>
        <w:rFonts w:cs="Times New Roman" w:hint="default"/>
      </w:rPr>
    </w:lvl>
    <w:lvl w:ilvl="1" w:tplc="040E0019" w:tentative="1">
      <w:start w:val="1"/>
      <w:numFmt w:val="lowerLetter"/>
      <w:lvlText w:val="%2."/>
      <w:lvlJc w:val="left"/>
      <w:pPr>
        <w:ind w:left="1615" w:hanging="360"/>
      </w:pPr>
      <w:rPr>
        <w:rFonts w:cs="Times New Roman"/>
      </w:rPr>
    </w:lvl>
    <w:lvl w:ilvl="2" w:tplc="040E001B" w:tentative="1">
      <w:start w:val="1"/>
      <w:numFmt w:val="lowerRoman"/>
      <w:lvlText w:val="%3."/>
      <w:lvlJc w:val="right"/>
      <w:pPr>
        <w:ind w:left="2335" w:hanging="180"/>
      </w:pPr>
      <w:rPr>
        <w:rFonts w:cs="Times New Roman"/>
      </w:rPr>
    </w:lvl>
    <w:lvl w:ilvl="3" w:tplc="040E000F" w:tentative="1">
      <w:start w:val="1"/>
      <w:numFmt w:val="decimal"/>
      <w:lvlText w:val="%4."/>
      <w:lvlJc w:val="left"/>
      <w:pPr>
        <w:ind w:left="3055" w:hanging="360"/>
      </w:pPr>
      <w:rPr>
        <w:rFonts w:cs="Times New Roman"/>
      </w:rPr>
    </w:lvl>
    <w:lvl w:ilvl="4" w:tplc="040E0019" w:tentative="1">
      <w:start w:val="1"/>
      <w:numFmt w:val="lowerLetter"/>
      <w:lvlText w:val="%5."/>
      <w:lvlJc w:val="left"/>
      <w:pPr>
        <w:ind w:left="3775" w:hanging="360"/>
      </w:pPr>
      <w:rPr>
        <w:rFonts w:cs="Times New Roman"/>
      </w:rPr>
    </w:lvl>
    <w:lvl w:ilvl="5" w:tplc="040E001B" w:tentative="1">
      <w:start w:val="1"/>
      <w:numFmt w:val="lowerRoman"/>
      <w:lvlText w:val="%6."/>
      <w:lvlJc w:val="right"/>
      <w:pPr>
        <w:ind w:left="4495" w:hanging="180"/>
      </w:pPr>
      <w:rPr>
        <w:rFonts w:cs="Times New Roman"/>
      </w:rPr>
    </w:lvl>
    <w:lvl w:ilvl="6" w:tplc="040E000F" w:tentative="1">
      <w:start w:val="1"/>
      <w:numFmt w:val="decimal"/>
      <w:lvlText w:val="%7."/>
      <w:lvlJc w:val="left"/>
      <w:pPr>
        <w:ind w:left="5215" w:hanging="360"/>
      </w:pPr>
      <w:rPr>
        <w:rFonts w:cs="Times New Roman"/>
      </w:rPr>
    </w:lvl>
    <w:lvl w:ilvl="7" w:tplc="040E0019" w:tentative="1">
      <w:start w:val="1"/>
      <w:numFmt w:val="lowerLetter"/>
      <w:lvlText w:val="%8."/>
      <w:lvlJc w:val="left"/>
      <w:pPr>
        <w:ind w:left="5935" w:hanging="360"/>
      </w:pPr>
      <w:rPr>
        <w:rFonts w:cs="Times New Roman"/>
      </w:rPr>
    </w:lvl>
    <w:lvl w:ilvl="8" w:tplc="040E001B" w:tentative="1">
      <w:start w:val="1"/>
      <w:numFmt w:val="lowerRoman"/>
      <w:lvlText w:val="%9."/>
      <w:lvlJc w:val="right"/>
      <w:pPr>
        <w:ind w:left="6655" w:hanging="180"/>
      </w:pPr>
      <w:rPr>
        <w:rFonts w:cs="Times New Roman"/>
      </w:rPr>
    </w:lvl>
  </w:abstractNum>
  <w:num w:numId="1">
    <w:abstractNumId w:val="15"/>
  </w:num>
  <w:num w:numId="2">
    <w:abstractNumId w:val="11"/>
  </w:num>
  <w:num w:numId="3">
    <w:abstractNumId w:val="13"/>
  </w:num>
  <w:num w:numId="4">
    <w:abstractNumId w:val="6"/>
  </w:num>
  <w:num w:numId="5">
    <w:abstractNumId w:val="9"/>
  </w:num>
  <w:num w:numId="6">
    <w:abstractNumId w:val="0"/>
  </w:num>
  <w:num w:numId="7">
    <w:abstractNumId w:val="20"/>
  </w:num>
  <w:num w:numId="8">
    <w:abstractNumId w:val="16"/>
  </w:num>
  <w:num w:numId="9">
    <w:abstractNumId w:val="7"/>
  </w:num>
  <w:num w:numId="10">
    <w:abstractNumId w:val="14"/>
  </w:num>
  <w:num w:numId="11">
    <w:abstractNumId w:val="1"/>
  </w:num>
  <w:num w:numId="12">
    <w:abstractNumId w:val="5"/>
  </w:num>
  <w:num w:numId="13">
    <w:abstractNumId w:val="12"/>
  </w:num>
  <w:num w:numId="14">
    <w:abstractNumId w:val="10"/>
  </w:num>
  <w:num w:numId="15">
    <w:abstractNumId w:val="3"/>
  </w:num>
  <w:num w:numId="16">
    <w:abstractNumId w:val="2"/>
  </w:num>
  <w:num w:numId="17">
    <w:abstractNumId w:val="4"/>
  </w:num>
  <w:num w:numId="18">
    <w:abstractNumId w:val="8"/>
  </w:num>
  <w:num w:numId="19">
    <w:abstractNumId w:val="19"/>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FA"/>
    <w:rsid w:val="00030988"/>
    <w:rsid w:val="000455F5"/>
    <w:rsid w:val="00091A13"/>
    <w:rsid w:val="000D6B20"/>
    <w:rsid w:val="000F34F1"/>
    <w:rsid w:val="000F3CB0"/>
    <w:rsid w:val="000F46BF"/>
    <w:rsid w:val="000F7258"/>
    <w:rsid w:val="0015148C"/>
    <w:rsid w:val="00166AF5"/>
    <w:rsid w:val="00190F13"/>
    <w:rsid w:val="00195CE9"/>
    <w:rsid w:val="001B7475"/>
    <w:rsid w:val="001D06DA"/>
    <w:rsid w:val="001E37D6"/>
    <w:rsid w:val="001E388B"/>
    <w:rsid w:val="001F069F"/>
    <w:rsid w:val="002127BE"/>
    <w:rsid w:val="002450E4"/>
    <w:rsid w:val="0028418A"/>
    <w:rsid w:val="0029771E"/>
    <w:rsid w:val="002A4EB9"/>
    <w:rsid w:val="002F6DF6"/>
    <w:rsid w:val="00374F5E"/>
    <w:rsid w:val="00376140"/>
    <w:rsid w:val="00381DE5"/>
    <w:rsid w:val="0039074F"/>
    <w:rsid w:val="003B409D"/>
    <w:rsid w:val="003E1669"/>
    <w:rsid w:val="003F2492"/>
    <w:rsid w:val="003F63D2"/>
    <w:rsid w:val="003F6B9E"/>
    <w:rsid w:val="00410ABA"/>
    <w:rsid w:val="00414990"/>
    <w:rsid w:val="00436F09"/>
    <w:rsid w:val="004608CC"/>
    <w:rsid w:val="00464027"/>
    <w:rsid w:val="004649F4"/>
    <w:rsid w:val="004657DD"/>
    <w:rsid w:val="0047591E"/>
    <w:rsid w:val="0049701E"/>
    <w:rsid w:val="004A1949"/>
    <w:rsid w:val="004A3F3D"/>
    <w:rsid w:val="00506730"/>
    <w:rsid w:val="005138BA"/>
    <w:rsid w:val="00536808"/>
    <w:rsid w:val="00541D3C"/>
    <w:rsid w:val="005D6C33"/>
    <w:rsid w:val="005F59EC"/>
    <w:rsid w:val="00646C7A"/>
    <w:rsid w:val="006A6FB2"/>
    <w:rsid w:val="006E3586"/>
    <w:rsid w:val="00712C13"/>
    <w:rsid w:val="00713EFA"/>
    <w:rsid w:val="00725CC0"/>
    <w:rsid w:val="007435C7"/>
    <w:rsid w:val="007556CB"/>
    <w:rsid w:val="007744D7"/>
    <w:rsid w:val="00784AA8"/>
    <w:rsid w:val="0079714F"/>
    <w:rsid w:val="007A2DCD"/>
    <w:rsid w:val="007A45AA"/>
    <w:rsid w:val="007A4CA7"/>
    <w:rsid w:val="007E20D6"/>
    <w:rsid w:val="007E27F9"/>
    <w:rsid w:val="007F655A"/>
    <w:rsid w:val="00802CD4"/>
    <w:rsid w:val="00822627"/>
    <w:rsid w:val="00823F5D"/>
    <w:rsid w:val="00827F88"/>
    <w:rsid w:val="00842D16"/>
    <w:rsid w:val="00895718"/>
    <w:rsid w:val="008A39C5"/>
    <w:rsid w:val="008A56C2"/>
    <w:rsid w:val="008D40AD"/>
    <w:rsid w:val="00901AF1"/>
    <w:rsid w:val="00942C75"/>
    <w:rsid w:val="00953160"/>
    <w:rsid w:val="00980F91"/>
    <w:rsid w:val="00A356AA"/>
    <w:rsid w:val="00A42211"/>
    <w:rsid w:val="00A70621"/>
    <w:rsid w:val="00A76B7D"/>
    <w:rsid w:val="00A94474"/>
    <w:rsid w:val="00AA19F6"/>
    <w:rsid w:val="00AD769B"/>
    <w:rsid w:val="00B04A2D"/>
    <w:rsid w:val="00B11CE3"/>
    <w:rsid w:val="00B334C6"/>
    <w:rsid w:val="00B8230E"/>
    <w:rsid w:val="00BB1867"/>
    <w:rsid w:val="00BB6A43"/>
    <w:rsid w:val="00BC342C"/>
    <w:rsid w:val="00BC75E6"/>
    <w:rsid w:val="00BE0DBF"/>
    <w:rsid w:val="00BE23FA"/>
    <w:rsid w:val="00BF528D"/>
    <w:rsid w:val="00C41DED"/>
    <w:rsid w:val="00C60988"/>
    <w:rsid w:val="00C6571D"/>
    <w:rsid w:val="00C77CC7"/>
    <w:rsid w:val="00C77F8B"/>
    <w:rsid w:val="00C847EA"/>
    <w:rsid w:val="00C85F3A"/>
    <w:rsid w:val="00CA5487"/>
    <w:rsid w:val="00CA6174"/>
    <w:rsid w:val="00CA6BBD"/>
    <w:rsid w:val="00CC1FF4"/>
    <w:rsid w:val="00CC42B3"/>
    <w:rsid w:val="00CD0DCE"/>
    <w:rsid w:val="00CF36D7"/>
    <w:rsid w:val="00D12B9A"/>
    <w:rsid w:val="00D200A5"/>
    <w:rsid w:val="00D43DAC"/>
    <w:rsid w:val="00D627BA"/>
    <w:rsid w:val="00D67169"/>
    <w:rsid w:val="00DB141E"/>
    <w:rsid w:val="00DC0F8E"/>
    <w:rsid w:val="00DD1410"/>
    <w:rsid w:val="00E05B8F"/>
    <w:rsid w:val="00E538B8"/>
    <w:rsid w:val="00ED33DF"/>
    <w:rsid w:val="00EE5DD0"/>
    <w:rsid w:val="00F016E5"/>
    <w:rsid w:val="00F61D89"/>
    <w:rsid w:val="00F65B07"/>
    <w:rsid w:val="00FD19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7068E5-4CDB-4048-B65B-68339CC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7CC7"/>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cimalAligned">
    <w:name w:val="Decimal Aligned"/>
    <w:basedOn w:val="Norml"/>
    <w:uiPriority w:val="99"/>
    <w:rsid w:val="00BB1867"/>
    <w:pPr>
      <w:tabs>
        <w:tab w:val="decimal" w:pos="360"/>
      </w:tabs>
      <w:spacing w:after="200" w:line="276" w:lineRule="auto"/>
    </w:pPr>
    <w:rPr>
      <w:rFonts w:eastAsia="Times New Roman"/>
      <w:lang w:eastAsia="hu-HU"/>
    </w:rPr>
  </w:style>
  <w:style w:type="paragraph" w:styleId="Lbjegyzetszveg">
    <w:name w:val="footnote text"/>
    <w:basedOn w:val="Norml"/>
    <w:link w:val="LbjegyzetszvegChar"/>
    <w:uiPriority w:val="99"/>
    <w:rsid w:val="00BB1867"/>
    <w:pPr>
      <w:spacing w:after="0" w:line="240" w:lineRule="auto"/>
    </w:pPr>
    <w:rPr>
      <w:rFonts w:eastAsia="Times New Roman"/>
      <w:sz w:val="20"/>
      <w:szCs w:val="20"/>
      <w:lang w:eastAsia="hu-HU"/>
    </w:rPr>
  </w:style>
  <w:style w:type="character" w:customStyle="1" w:styleId="LbjegyzetszvegChar">
    <w:name w:val="Lábjegyzetszöveg Char"/>
    <w:basedOn w:val="Bekezdsalapbettpusa"/>
    <w:link w:val="Lbjegyzetszveg"/>
    <w:uiPriority w:val="99"/>
    <w:locked/>
    <w:rsid w:val="00BB1867"/>
    <w:rPr>
      <w:rFonts w:eastAsia="Times New Roman" w:cs="Times New Roman"/>
      <w:sz w:val="20"/>
      <w:szCs w:val="20"/>
      <w:lang w:eastAsia="hu-HU"/>
    </w:rPr>
  </w:style>
  <w:style w:type="character" w:styleId="Finomkiemels">
    <w:name w:val="Subtle Emphasis"/>
    <w:basedOn w:val="Bekezdsalapbettpusa"/>
    <w:uiPriority w:val="99"/>
    <w:qFormat/>
    <w:rsid w:val="00BB1867"/>
    <w:rPr>
      <w:rFonts w:cs="Times New Roman"/>
      <w:i/>
      <w:iCs/>
    </w:rPr>
  </w:style>
  <w:style w:type="table" w:styleId="Kzepesrnykols25jellszn">
    <w:name w:val="Medium Shading 2 Accent 5"/>
    <w:basedOn w:val="Normltblzat"/>
    <w:uiPriority w:val="99"/>
    <w:rsid w:val="00BB1867"/>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csostblzat">
    <w:name w:val="Table Grid"/>
    <w:basedOn w:val="Normltblzat"/>
    <w:uiPriority w:val="99"/>
    <w:rsid w:val="00BB18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BB1867"/>
    <w:pPr>
      <w:spacing w:after="200" w:line="276" w:lineRule="auto"/>
      <w:ind w:left="720"/>
      <w:contextualSpacing/>
    </w:pPr>
  </w:style>
  <w:style w:type="paragraph" w:styleId="llb">
    <w:name w:val="footer"/>
    <w:basedOn w:val="Norml"/>
    <w:link w:val="llbChar"/>
    <w:uiPriority w:val="99"/>
    <w:rsid w:val="00EE5DD0"/>
    <w:pPr>
      <w:tabs>
        <w:tab w:val="center" w:pos="4536"/>
        <w:tab w:val="right" w:pos="9072"/>
      </w:tabs>
      <w:spacing w:after="200" w:line="276" w:lineRule="auto"/>
    </w:pPr>
    <w:rPr>
      <w:sz w:val="20"/>
      <w:szCs w:val="20"/>
    </w:rPr>
  </w:style>
  <w:style w:type="character" w:customStyle="1" w:styleId="llbChar">
    <w:name w:val="Élőláb Char"/>
    <w:basedOn w:val="Bekezdsalapbettpusa"/>
    <w:link w:val="llb"/>
    <w:uiPriority w:val="99"/>
    <w:locked/>
    <w:rsid w:val="00EE5DD0"/>
    <w:rPr>
      <w:rFonts w:ascii="Calibri" w:hAnsi="Calibri" w:cs="Times New Roman"/>
      <w:sz w:val="20"/>
      <w:szCs w:val="20"/>
    </w:rPr>
  </w:style>
  <w:style w:type="paragraph" w:styleId="lfej">
    <w:name w:val="header"/>
    <w:basedOn w:val="Norml"/>
    <w:link w:val="lfejChar"/>
    <w:uiPriority w:val="99"/>
    <w:rsid w:val="00410AB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410ABA"/>
    <w:rPr>
      <w:rFonts w:cs="Times New Roman"/>
    </w:rPr>
  </w:style>
  <w:style w:type="paragraph" w:customStyle="1" w:styleId="Default">
    <w:name w:val="Default"/>
    <w:uiPriority w:val="99"/>
    <w:rsid w:val="00410ABA"/>
    <w:pPr>
      <w:autoSpaceDE w:val="0"/>
      <w:autoSpaceDN w:val="0"/>
      <w:adjustRightInd w:val="0"/>
    </w:pPr>
    <w:rPr>
      <w:rFonts w:ascii="Times New Roman" w:hAnsi="Times New Roman"/>
      <w:color w:val="000000"/>
      <w:sz w:val="24"/>
      <w:szCs w:val="24"/>
      <w:lang w:eastAsia="en-US"/>
    </w:rPr>
  </w:style>
  <w:style w:type="character" w:styleId="Lbjegyzet-hivatkozs">
    <w:name w:val="footnote reference"/>
    <w:basedOn w:val="Bekezdsalapbettpusa"/>
    <w:uiPriority w:val="99"/>
    <w:semiHidden/>
    <w:rsid w:val="002450E4"/>
    <w:rPr>
      <w:rFonts w:cs="Times New Roman"/>
      <w:vertAlign w:val="superscript"/>
    </w:rPr>
  </w:style>
  <w:style w:type="character" w:styleId="Hiperhivatkozs">
    <w:name w:val="Hyperlink"/>
    <w:basedOn w:val="Bekezdsalapbettpusa"/>
    <w:uiPriority w:val="99"/>
    <w:rsid w:val="00713EFA"/>
    <w:rPr>
      <w:rFonts w:cs="Times New Roman"/>
      <w:color w:val="0000FF"/>
      <w:u w:val="single"/>
    </w:rPr>
  </w:style>
  <w:style w:type="character" w:styleId="Jegyzethivatkozs">
    <w:name w:val="annotation reference"/>
    <w:basedOn w:val="Bekezdsalapbettpusa"/>
    <w:uiPriority w:val="99"/>
    <w:semiHidden/>
    <w:rsid w:val="00030988"/>
    <w:rPr>
      <w:rFonts w:cs="Times New Roman"/>
      <w:sz w:val="16"/>
      <w:szCs w:val="16"/>
    </w:rPr>
  </w:style>
  <w:style w:type="paragraph" w:styleId="Jegyzetszveg">
    <w:name w:val="annotation text"/>
    <w:basedOn w:val="Norml"/>
    <w:link w:val="JegyzetszvegChar"/>
    <w:uiPriority w:val="99"/>
    <w:semiHidden/>
    <w:rsid w:val="00030988"/>
    <w:pPr>
      <w:spacing w:after="200" w:line="240" w:lineRule="auto"/>
    </w:pPr>
    <w:rPr>
      <w:sz w:val="20"/>
      <w:szCs w:val="20"/>
    </w:rPr>
  </w:style>
  <w:style w:type="character" w:customStyle="1" w:styleId="JegyzetszvegChar">
    <w:name w:val="Jegyzetszöveg Char"/>
    <w:basedOn w:val="Bekezdsalapbettpusa"/>
    <w:link w:val="Jegyzetszveg"/>
    <w:uiPriority w:val="99"/>
    <w:semiHidden/>
    <w:locked/>
    <w:rsid w:val="00030988"/>
    <w:rPr>
      <w:rFonts w:ascii="Calibri" w:hAnsi="Calibri" w:cs="Times New Roman"/>
      <w:lang w:val="hu-HU" w:eastAsia="en-US" w:bidi="ar-SA"/>
    </w:rPr>
  </w:style>
  <w:style w:type="paragraph" w:styleId="Buborkszveg">
    <w:name w:val="Balloon Text"/>
    <w:basedOn w:val="Norml"/>
    <w:link w:val="BuborkszvegChar"/>
    <w:uiPriority w:val="99"/>
    <w:semiHidden/>
    <w:rsid w:val="00030988"/>
    <w:rPr>
      <w:rFonts w:ascii="Tahoma" w:hAnsi="Tahoma" w:cs="Tahoma"/>
      <w:sz w:val="16"/>
      <w:szCs w:val="16"/>
    </w:rPr>
  </w:style>
  <w:style w:type="character" w:customStyle="1" w:styleId="BuborkszvegChar">
    <w:name w:val="Buborékszöveg Char"/>
    <w:basedOn w:val="Bekezdsalapbettpusa"/>
    <w:link w:val="Buborkszveg"/>
    <w:uiPriority w:val="99"/>
    <w:semiHidden/>
    <w:rsid w:val="00A341DB"/>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nyadrav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13</Pages>
  <Words>3170</Words>
  <Characters>22764</Characters>
  <Application>Microsoft Office Word</Application>
  <DocSecurity>0</DocSecurity>
  <Lines>711</Lines>
  <Paragraphs>480</Paragraphs>
  <ScaleCrop>false</ScaleCrop>
  <HeadingPairs>
    <vt:vector size="2" baseType="variant">
      <vt:variant>
        <vt:lpstr>Cím</vt:lpstr>
      </vt:variant>
      <vt:variant>
        <vt:i4>1</vt:i4>
      </vt:variant>
    </vt:vector>
  </HeadingPairs>
  <TitlesOfParts>
    <vt:vector size="1" baseType="lpstr">
      <vt:lpstr>A HFS tervezetek továbbfejlesztésének egyedi, minőségi továbbfejlesztési útmutatásai és a tervezői válaszok</vt:lpstr>
    </vt:vector>
  </TitlesOfParts>
  <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HFS tervezetek továbbfejlesztésének egyedi, minőségi továbbfejlesztési útmutatásai és a tervezői válaszok</dc:title>
  <dc:subject/>
  <dc:creator>Magócs Krisztina</dc:creator>
  <cp:keywords/>
  <dc:description/>
  <cp:lastModifiedBy>Rinya-Dráva Szövetség</cp:lastModifiedBy>
  <cp:revision>15</cp:revision>
  <dcterms:created xsi:type="dcterms:W3CDTF">2016-05-02T07:38:00Z</dcterms:created>
  <dcterms:modified xsi:type="dcterms:W3CDTF">2016-05-31T15:12:00Z</dcterms:modified>
</cp:coreProperties>
</file>